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ascii="宋体" w:hAnsi="宋体" w:cs="黑体"/>
          <w:snapToGrid w:val="0"/>
          <w:sz w:val="24"/>
        </w:rPr>
        <w:t>8</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4"/>
        <w:gridCol w:w="1060"/>
        <w:gridCol w:w="641"/>
        <w:gridCol w:w="1559"/>
        <w:gridCol w:w="709"/>
        <w:gridCol w:w="481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bookmarkStart w:id="0" w:name="_Hlk50096648"/>
            <w:bookmarkStart w:id="1" w:name="_Hlk98601959"/>
            <w:r>
              <w:rPr>
                <w:rFonts w:hint="eastAsia" w:ascii="宋体" w:hAnsi="宋体"/>
                <w:sz w:val="24"/>
              </w:rPr>
              <w:t>项目编号</w:t>
            </w:r>
          </w:p>
        </w:tc>
        <w:tc>
          <w:tcPr>
            <w:tcW w:w="7737" w:type="dxa"/>
            <w:gridSpan w:val="5"/>
            <w:vAlign w:val="center"/>
          </w:tcPr>
          <w:p>
            <w:pPr>
              <w:rPr>
                <w:rFonts w:ascii="宋体" w:hAnsi="宋体"/>
                <w:sz w:val="24"/>
              </w:rPr>
            </w:pPr>
            <w:r>
              <w:rPr>
                <w:rFonts w:ascii="宋体" w:hAnsi="宋体"/>
                <w:sz w:val="24"/>
              </w:rPr>
              <w:t>2022-JK15-W1116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项目名称</w:t>
            </w:r>
          </w:p>
        </w:tc>
        <w:tc>
          <w:tcPr>
            <w:tcW w:w="7737" w:type="dxa"/>
            <w:gridSpan w:val="5"/>
            <w:vAlign w:val="center"/>
          </w:tcPr>
          <w:p>
            <w:pPr>
              <w:rPr>
                <w:rFonts w:ascii="宋体" w:hAnsi="宋体"/>
                <w:sz w:val="24"/>
              </w:rPr>
            </w:pPr>
            <w:r>
              <w:rPr>
                <w:rFonts w:hint="eastAsia" w:ascii="宋体" w:hAnsi="宋体"/>
                <w:sz w:val="24"/>
              </w:rPr>
              <w:t>病区医用气体报警计费装置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数量</w:t>
            </w:r>
          </w:p>
        </w:tc>
        <w:tc>
          <w:tcPr>
            <w:tcW w:w="2200" w:type="dxa"/>
            <w:gridSpan w:val="2"/>
            <w:vAlign w:val="center"/>
          </w:tcPr>
          <w:p>
            <w:pPr>
              <w:jc w:val="center"/>
              <w:rPr>
                <w:rFonts w:ascii="宋体" w:hAnsi="宋体"/>
                <w:sz w:val="24"/>
              </w:rPr>
            </w:pPr>
            <w:r>
              <w:rPr>
                <w:rFonts w:ascii="宋体" w:hAnsi="宋体"/>
                <w:sz w:val="24"/>
              </w:rPr>
              <w:t>99</w:t>
            </w:r>
          </w:p>
        </w:tc>
        <w:tc>
          <w:tcPr>
            <w:tcW w:w="5537" w:type="dxa"/>
            <w:gridSpan w:val="3"/>
            <w:vAlign w:val="center"/>
          </w:tcPr>
          <w:p>
            <w:pPr>
              <w:jc w:val="center"/>
              <w:rPr>
                <w:rFonts w:ascii="宋体" w:hAnsi="宋体"/>
                <w:sz w:val="24"/>
              </w:rPr>
            </w:pPr>
            <w:r>
              <w:rPr>
                <w:rFonts w:hint="eastAsia" w:ascii="宋体" w:hAnsi="宋体"/>
                <w:sz w:val="24"/>
              </w:rPr>
              <w:sym w:font="Wingdings" w:char="00FE"/>
            </w:r>
            <w:r>
              <w:rPr>
                <w:rFonts w:hint="eastAsia" w:ascii="宋体" w:hAnsi="宋体"/>
                <w:sz w:val="24"/>
              </w:rPr>
              <w:t xml:space="preserve">国产 </w:t>
            </w:r>
            <w:r>
              <w:rPr>
                <w:rFonts w:ascii="宋体" w:hAnsi="宋体"/>
                <w:sz w:val="24"/>
              </w:rPr>
              <w:t xml:space="preserve">  </w:t>
            </w:r>
            <w:r>
              <w:rPr>
                <w:rFonts w:hint="eastAsia" w:ascii="宋体" w:hAnsi="宋体"/>
                <w:sz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 w:val="24"/>
              </w:rPr>
            </w:pPr>
            <w:r>
              <w:rPr>
                <w:rFonts w:hint="eastAsia" w:ascii="宋体" w:hAnsi="宋体"/>
                <w:sz w:val="24"/>
              </w:rPr>
              <w:t>最高投标限价</w:t>
            </w:r>
          </w:p>
        </w:tc>
        <w:tc>
          <w:tcPr>
            <w:tcW w:w="7737" w:type="dxa"/>
            <w:gridSpan w:val="5"/>
            <w:vAlign w:val="center"/>
          </w:tcPr>
          <w:p>
            <w:pPr>
              <w:jc w:val="left"/>
              <w:rPr>
                <w:rFonts w:ascii="宋体" w:hAnsi="宋体"/>
                <w:sz w:val="24"/>
              </w:rPr>
            </w:pPr>
            <w:r>
              <w:rPr>
                <w:rFonts w:ascii="宋体" w:hAnsi="宋体"/>
                <w:sz w:val="24"/>
              </w:rPr>
              <w:t>158.4</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tcPr>
          <w:p>
            <w:pPr>
              <w:jc w:val="center"/>
              <w:rPr>
                <w:rFonts w:ascii="宋体" w:hAnsi="宋体"/>
                <w:sz w:val="24"/>
              </w:rPr>
            </w:pPr>
            <w:r>
              <w:rPr>
                <w:rFonts w:hint="eastAsia" w:ascii="宋体" w:hAnsi="宋体" w:cs="仿宋"/>
                <w:b/>
                <w:sz w:val="24"/>
              </w:rPr>
              <w:t>功能要求</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对各病区的医用气体压力运行状况和氧气流量运行状况进行实时监测。</w:t>
            </w:r>
          </w:p>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对各病区医气压力和氧气流量的异常情况进行报警触发，并将报警信息以短信、语音、微信、邮箱等方式推送给相关管理人员（至少15人）。</w:t>
            </w:r>
          </w:p>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对各病区的氧气用量以及总的氧气用量进行月度统计结算并形成可输出（纸质或电子文件）报表。</w:t>
            </w:r>
          </w:p>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具备报警记录、实时曲线、历史查询、应用发布、统计结算、报表打印等功能模块。</w:t>
            </w:r>
          </w:p>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氧气流量统计结算数据（具有敏感性）本地永久保存。</w:t>
            </w:r>
          </w:p>
          <w:p>
            <w:pPr>
              <w:pStyle w:val="25"/>
              <w:numPr>
                <w:ilvl w:val="0"/>
                <w:numId w:val="2"/>
              </w:numPr>
              <w:ind w:firstLineChars="0"/>
              <w:jc w:val="left"/>
              <w:rPr>
                <w:rFonts w:asciiTheme="minorEastAsia" w:hAnsiTheme="minorEastAsia" w:eastAsiaTheme="minorEastAsia"/>
                <w:sz w:val="24"/>
              </w:rPr>
            </w:pPr>
            <w:r>
              <w:rPr>
                <w:rFonts w:hint="eastAsia" w:asciiTheme="minorEastAsia" w:hAnsiTheme="minorEastAsia" w:eastAsiaTheme="minorEastAsia"/>
                <w:sz w:val="24"/>
              </w:rPr>
              <w:t>具备数据统计功能（包括最大值、最小值、平均值、累计值、差值）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 w:val="24"/>
              </w:rPr>
            </w:pPr>
            <w:r>
              <w:rPr>
                <w:rFonts w:ascii="宋体" w:hAnsi="宋体" w:cs="仿宋"/>
                <w:b/>
                <w:sz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widowControl/>
              <w:jc w:val="center"/>
              <w:rPr>
                <w:rFonts w:ascii="宋体" w:hAnsi="宋体"/>
                <w:b/>
                <w:color w:val="000000"/>
                <w:kern w:val="0"/>
                <w:sz w:val="24"/>
              </w:rPr>
            </w:pPr>
            <w:r>
              <w:rPr>
                <w:rFonts w:ascii="宋体" w:hAnsi="宋体"/>
                <w:b/>
                <w:color w:val="000000"/>
                <w:kern w:val="0"/>
                <w:sz w:val="24"/>
              </w:rPr>
              <w:t>序号</w:t>
            </w:r>
          </w:p>
        </w:tc>
        <w:tc>
          <w:tcPr>
            <w:tcW w:w="4253" w:type="dxa"/>
            <w:gridSpan w:val="5"/>
            <w:vAlign w:val="center"/>
          </w:tcPr>
          <w:p>
            <w:pPr>
              <w:widowControl/>
              <w:jc w:val="center"/>
              <w:rPr>
                <w:rFonts w:ascii="宋体" w:hAnsi="宋体"/>
                <w:b/>
                <w:color w:val="000000"/>
                <w:kern w:val="0"/>
                <w:sz w:val="24"/>
              </w:rPr>
            </w:pPr>
            <w:r>
              <w:rPr>
                <w:rFonts w:ascii="宋体" w:hAnsi="宋体"/>
                <w:b/>
                <w:color w:val="000000"/>
                <w:kern w:val="0"/>
                <w:sz w:val="24"/>
              </w:rPr>
              <w:t>描  述</w:t>
            </w:r>
          </w:p>
        </w:tc>
        <w:tc>
          <w:tcPr>
            <w:tcW w:w="4828" w:type="dxa"/>
            <w:gridSpan w:val="2"/>
            <w:vAlign w:val="center"/>
          </w:tcPr>
          <w:p>
            <w:pPr>
              <w:widowControl/>
              <w:jc w:val="center"/>
              <w:rPr>
                <w:rFonts w:ascii="宋体" w:hAnsi="宋体"/>
                <w:b/>
                <w:color w:val="000000"/>
                <w:kern w:val="0"/>
                <w:sz w:val="24"/>
              </w:rPr>
            </w:pPr>
            <w:r>
              <w:rPr>
                <w:rFonts w:ascii="宋体" w:hAnsi="宋体"/>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w:t>
            </w:r>
          </w:p>
        </w:tc>
        <w:tc>
          <w:tcPr>
            <w:tcW w:w="4253" w:type="dxa"/>
            <w:gridSpan w:val="5"/>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医气压力监测报警器</w:t>
            </w:r>
          </w:p>
        </w:tc>
        <w:tc>
          <w:tcPr>
            <w:tcW w:w="4828"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99台 / （病区88台，氧气、负压、空气60台；氧气、负压28台；机房11台：住院一部氧气、负压、空气机房3台；住院二部3台氧气、1台负压；住院三部1台负压；传染楼1台负压、1台空气；急诊科1台负压；）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w:t>
            </w:r>
          </w:p>
        </w:tc>
        <w:tc>
          <w:tcPr>
            <w:tcW w:w="4253" w:type="dxa"/>
            <w:gridSpan w:val="5"/>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氧气流量监测仪</w:t>
            </w:r>
          </w:p>
        </w:tc>
        <w:tc>
          <w:tcPr>
            <w:tcW w:w="4828"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xml:space="preserve">88台 （病区）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3</w:t>
            </w:r>
          </w:p>
        </w:tc>
        <w:tc>
          <w:tcPr>
            <w:tcW w:w="4253" w:type="dxa"/>
            <w:gridSpan w:val="5"/>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sz w:val="24"/>
              </w:rPr>
              <w:t>医用气体压力-氧气流量实时监测软件</w:t>
            </w:r>
          </w:p>
        </w:tc>
        <w:tc>
          <w:tcPr>
            <w:tcW w:w="4828"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4</w:t>
            </w:r>
          </w:p>
        </w:tc>
        <w:tc>
          <w:tcPr>
            <w:tcW w:w="4253" w:type="dxa"/>
            <w:gridSpan w:val="5"/>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氧气流量统计结算软件</w:t>
            </w:r>
          </w:p>
        </w:tc>
        <w:tc>
          <w:tcPr>
            <w:tcW w:w="4828" w:type="dxa"/>
            <w:gridSpan w:val="2"/>
            <w:vAlign w:val="center"/>
          </w:tcPr>
          <w:p>
            <w:pPr>
              <w:widowControl/>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xml:space="preserve">1套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5</w:t>
            </w:r>
          </w:p>
        </w:tc>
        <w:tc>
          <w:tcPr>
            <w:tcW w:w="4253" w:type="dxa"/>
            <w:gridSpan w:val="5"/>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工业监控主机</w:t>
            </w:r>
          </w:p>
        </w:tc>
        <w:tc>
          <w:tcPr>
            <w:tcW w:w="4828"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 xml:space="preserve">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6</w:t>
            </w:r>
          </w:p>
        </w:tc>
        <w:tc>
          <w:tcPr>
            <w:tcW w:w="4253" w:type="dxa"/>
            <w:gridSpan w:val="5"/>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监视器</w:t>
            </w:r>
          </w:p>
        </w:tc>
        <w:tc>
          <w:tcPr>
            <w:tcW w:w="4828"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 xml:space="preserve">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7</w:t>
            </w:r>
          </w:p>
        </w:tc>
        <w:tc>
          <w:tcPr>
            <w:tcW w:w="4253" w:type="dxa"/>
            <w:gridSpan w:val="5"/>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网关（串口服务器）</w:t>
            </w:r>
          </w:p>
        </w:tc>
        <w:tc>
          <w:tcPr>
            <w:tcW w:w="4828"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5台（住院部）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8</w:t>
            </w:r>
          </w:p>
        </w:tc>
        <w:tc>
          <w:tcPr>
            <w:tcW w:w="4253" w:type="dxa"/>
            <w:gridSpan w:val="5"/>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数据信号放大器</w:t>
            </w:r>
          </w:p>
        </w:tc>
        <w:tc>
          <w:tcPr>
            <w:tcW w:w="4828" w:type="dxa"/>
            <w:gridSpan w:val="2"/>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color w:val="000000"/>
                <w:kern w:val="0"/>
                <w:sz w:val="24"/>
              </w:rPr>
              <w:t>5台（住院部）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 w:val="24"/>
              </w:rPr>
            </w:pPr>
            <w:r>
              <w:rPr>
                <w:rFonts w:hint="eastAsia" w:ascii="宋体" w:hAnsi="宋体" w:cs="仿宋"/>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宋体" w:hAnsi="宋体" w:cs="仿宋"/>
                <w:sz w:val="24"/>
              </w:rPr>
            </w:pPr>
            <w:r>
              <w:rPr>
                <w:rFonts w:hint="eastAsia" w:ascii="宋体" w:hAnsi="宋体" w:cs="仿宋"/>
                <w:sz w:val="24"/>
              </w:rPr>
              <w:t>序号</w:t>
            </w:r>
          </w:p>
        </w:tc>
        <w:tc>
          <w:tcPr>
            <w:tcW w:w="1701" w:type="dxa"/>
            <w:gridSpan w:val="2"/>
            <w:vAlign w:val="center"/>
          </w:tcPr>
          <w:p>
            <w:pPr>
              <w:jc w:val="center"/>
              <w:rPr>
                <w:rFonts w:ascii="宋体" w:hAnsi="宋体" w:cs="仿宋"/>
                <w:sz w:val="24"/>
              </w:rPr>
            </w:pPr>
            <w:r>
              <w:rPr>
                <w:rFonts w:hint="eastAsia" w:ascii="宋体" w:hAnsi="宋体" w:cs="仿宋"/>
                <w:sz w:val="24"/>
              </w:rPr>
              <w:t>指标名称</w:t>
            </w:r>
          </w:p>
        </w:tc>
        <w:tc>
          <w:tcPr>
            <w:tcW w:w="7087" w:type="dxa"/>
            <w:gridSpan w:val="3"/>
            <w:vAlign w:val="center"/>
          </w:tcPr>
          <w:p>
            <w:pPr>
              <w:jc w:val="center"/>
              <w:rPr>
                <w:rFonts w:ascii="宋体" w:hAnsi="宋体" w:cs="仿宋"/>
                <w:sz w:val="24"/>
              </w:rPr>
            </w:pPr>
            <w:r>
              <w:rPr>
                <w:rFonts w:hint="eastAsia" w:ascii="宋体" w:hAnsi="宋体" w:cs="仿宋"/>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restart"/>
            <w:vAlign w:val="center"/>
          </w:tcPr>
          <w:p>
            <w:pPr>
              <w:jc w:val="center"/>
              <w:rPr>
                <w:rFonts w:cs="仿宋" w:asciiTheme="minorEastAsia" w:hAnsiTheme="minorEastAsia" w:eastAsiaTheme="minorEastAsia"/>
                <w:sz w:val="24"/>
              </w:rPr>
            </w:pPr>
            <w:r>
              <w:rPr>
                <w:rFonts w:hint="eastAsia" w:asciiTheme="minorEastAsia" w:hAnsiTheme="minorEastAsia" w:eastAsiaTheme="minorEastAsia"/>
                <w:color w:val="000000"/>
                <w:kern w:val="0"/>
                <w:sz w:val="24"/>
              </w:rPr>
              <w:t>1</w:t>
            </w:r>
          </w:p>
        </w:tc>
        <w:tc>
          <w:tcPr>
            <w:tcW w:w="1701" w:type="dxa"/>
            <w:gridSpan w:val="2"/>
            <w:vMerge w:val="restart"/>
            <w:vAlign w:val="center"/>
          </w:tcPr>
          <w:p>
            <w:pPr>
              <w:jc w:val="center"/>
              <w:rPr>
                <w:rFonts w:cs="仿宋" w:asciiTheme="minorEastAsia" w:hAnsiTheme="minorEastAsia" w:eastAsiaTheme="minorEastAsia"/>
                <w:sz w:val="24"/>
              </w:rPr>
            </w:pPr>
            <w:r>
              <w:rPr>
                <w:rFonts w:hint="eastAsia" w:ascii="宋体" w:hAnsi="宋体"/>
                <w:sz w:val="24"/>
              </w:rPr>
              <w:t>医气压力监测报警器</w:t>
            </w: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★1.1监视气体种类： 氧气、负压、压缩空气、氮气、笑气、二氧化碳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1.2功率：10VA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1.3防电击类型：Ⅰ类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1.4传感器量程：-0.1～0～1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1.5分辨率：0.01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1.6精度等级：1级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1.7防护等级：IP30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restart"/>
            <w:vAlign w:val="center"/>
          </w:tcPr>
          <w:p>
            <w:pPr>
              <w:jc w:val="center"/>
              <w:rPr>
                <w:rFonts w:cs="仿宋" w:asciiTheme="minorEastAsia" w:hAnsiTheme="minorEastAsia" w:eastAsiaTheme="minorEastAsia"/>
                <w:sz w:val="24"/>
              </w:rPr>
            </w:pPr>
            <w:r>
              <w:rPr>
                <w:rFonts w:asciiTheme="minorEastAsia" w:hAnsiTheme="minorEastAsia" w:eastAsiaTheme="minorEastAsia"/>
                <w:color w:val="000000"/>
                <w:kern w:val="0"/>
                <w:sz w:val="24"/>
              </w:rPr>
              <w:t>2</w:t>
            </w:r>
          </w:p>
        </w:tc>
        <w:tc>
          <w:tcPr>
            <w:tcW w:w="1701" w:type="dxa"/>
            <w:gridSpan w:val="2"/>
            <w:vMerge w:val="restart"/>
            <w:vAlign w:val="center"/>
          </w:tcPr>
          <w:p>
            <w:pPr>
              <w:jc w:val="center"/>
              <w:rPr>
                <w:rFonts w:cs="仿宋" w:asciiTheme="minorEastAsia" w:hAnsiTheme="minorEastAsia" w:eastAsiaTheme="minorEastAsia"/>
                <w:sz w:val="24"/>
              </w:rPr>
            </w:pPr>
            <w:r>
              <w:rPr>
                <w:rFonts w:hint="eastAsia" w:ascii="宋体" w:hAnsi="宋体"/>
                <w:sz w:val="24"/>
              </w:rPr>
              <w:t>氧气质量流量仪</w:t>
            </w:r>
          </w:p>
        </w:tc>
        <w:tc>
          <w:tcPr>
            <w:tcW w:w="7087" w:type="dxa"/>
            <w:gridSpan w:val="3"/>
            <w:vAlign w:val="center"/>
          </w:tcPr>
          <w:p>
            <w:pPr>
              <w:jc w:val="left"/>
              <w:rPr>
                <w:rFonts w:ascii="宋体" w:hAnsi="宋体"/>
                <w:sz w:val="24"/>
              </w:rPr>
            </w:pPr>
            <w:r>
              <w:rPr>
                <w:rFonts w:hint="eastAsia" w:ascii="宋体" w:hAnsi="宋体"/>
                <w:sz w:val="24"/>
              </w:rPr>
              <w:t>2.1流量范围:</w:t>
            </w:r>
          </w:p>
          <w:p>
            <w:pPr>
              <w:jc w:val="left"/>
              <w:rPr>
                <w:rFonts w:ascii="宋体" w:hAnsi="宋体"/>
                <w:sz w:val="24"/>
              </w:rPr>
            </w:pPr>
            <w:r>
              <w:rPr>
                <w:rFonts w:hint="eastAsia" w:ascii="宋体" w:hAnsi="宋体"/>
                <w:sz w:val="24"/>
              </w:rPr>
              <w:t>普通病区0-200L/min（标况）</w:t>
            </w:r>
          </w:p>
          <w:p>
            <w:pPr>
              <w:widowControl/>
              <w:jc w:val="left"/>
              <w:rPr>
                <w:rFonts w:asciiTheme="minorEastAsia" w:hAnsiTheme="minorEastAsia" w:eastAsiaTheme="minorEastAsia"/>
                <w:sz w:val="24"/>
              </w:rPr>
            </w:pPr>
            <w:r>
              <w:rPr>
                <w:rFonts w:hint="eastAsia" w:ascii="宋体" w:hAnsi="宋体"/>
                <w:sz w:val="24"/>
              </w:rPr>
              <w:t>洁净病区0-300L/min（标况）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jc w:val="left"/>
              <w:rPr>
                <w:rFonts w:asciiTheme="minorEastAsia" w:hAnsiTheme="minorEastAsia" w:eastAsiaTheme="minorEastAsia"/>
                <w:color w:val="FF0000"/>
                <w:sz w:val="24"/>
              </w:rPr>
            </w:pPr>
            <w:r>
              <w:rPr>
                <w:rFonts w:hint="eastAsia" w:ascii="宋体" w:hAnsi="宋体"/>
                <w:sz w:val="24"/>
              </w:rPr>
              <w:t>2.2始动流量:0.3L/min（标况）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sz w:val="24"/>
              </w:rPr>
            </w:pPr>
          </w:p>
        </w:tc>
        <w:tc>
          <w:tcPr>
            <w:tcW w:w="1701" w:type="dxa"/>
            <w:gridSpan w:val="2"/>
            <w:vMerge w:val="continue"/>
            <w:vAlign w:val="center"/>
          </w:tcPr>
          <w:p>
            <w:pPr>
              <w:jc w:val="center"/>
              <w:rPr>
                <w:rFonts w:asciiTheme="minorEastAsia" w:hAnsiTheme="minorEastAsia" w:eastAsiaTheme="minorEastAsia"/>
                <w:sz w:val="24"/>
              </w:rPr>
            </w:pPr>
          </w:p>
        </w:tc>
        <w:tc>
          <w:tcPr>
            <w:tcW w:w="7087" w:type="dxa"/>
            <w:gridSpan w:val="3"/>
            <w:vAlign w:val="center"/>
          </w:tcPr>
          <w:p>
            <w:pPr>
              <w:widowControl/>
              <w:rPr>
                <w:rFonts w:asciiTheme="minorEastAsia" w:hAnsiTheme="minorEastAsia" w:eastAsiaTheme="minorEastAsia"/>
                <w:kern w:val="0"/>
                <w:sz w:val="24"/>
              </w:rPr>
            </w:pPr>
            <w:r>
              <w:rPr>
                <w:rFonts w:hint="eastAsia" w:ascii="宋体" w:hAnsi="宋体"/>
                <w:sz w:val="24"/>
              </w:rPr>
              <w:t>2.3流量精度:±（2.0+0.5FS）%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bCs/>
                <w:sz w:val="24"/>
              </w:rPr>
            </w:pPr>
          </w:p>
        </w:tc>
        <w:tc>
          <w:tcPr>
            <w:tcW w:w="1701" w:type="dxa"/>
            <w:gridSpan w:val="2"/>
            <w:vMerge w:val="continue"/>
            <w:vAlign w:val="center"/>
          </w:tcPr>
          <w:p>
            <w:pPr>
              <w:jc w:val="center"/>
              <w:rPr>
                <w:rFonts w:cs="仿宋" w:asciiTheme="minorEastAsia" w:hAnsiTheme="minorEastAsia" w:eastAsiaTheme="minorEastAsia"/>
                <w:sz w:val="24"/>
              </w:rPr>
            </w:pPr>
          </w:p>
        </w:tc>
        <w:tc>
          <w:tcPr>
            <w:tcW w:w="7087" w:type="dxa"/>
            <w:gridSpan w:val="3"/>
            <w:vAlign w:val="center"/>
          </w:tcPr>
          <w:p>
            <w:pPr>
              <w:widowControl/>
              <w:rPr>
                <w:rFonts w:asciiTheme="minorEastAsia" w:hAnsiTheme="minorEastAsia" w:eastAsiaTheme="minorEastAsia"/>
                <w:sz w:val="24"/>
              </w:rPr>
            </w:pPr>
            <w:r>
              <w:rPr>
                <w:rFonts w:hint="eastAsia" w:ascii="宋体" w:hAnsi="宋体"/>
                <w:sz w:val="24"/>
              </w:rPr>
              <w:t>2.4流量重复性:±1.0 %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asciiTheme="minorEastAsia" w:hAnsiTheme="minorEastAsia" w:eastAsiaTheme="minorEastAsia"/>
                <w:sz w:val="24"/>
              </w:rPr>
            </w:pPr>
          </w:p>
        </w:tc>
        <w:tc>
          <w:tcPr>
            <w:tcW w:w="7087" w:type="dxa"/>
            <w:gridSpan w:val="3"/>
            <w:vAlign w:val="center"/>
          </w:tcPr>
          <w:p>
            <w:pPr>
              <w:widowControl/>
              <w:jc w:val="left"/>
              <w:rPr>
                <w:color w:val="000000"/>
                <w:kern w:val="0"/>
                <w:sz w:val="24"/>
              </w:rPr>
            </w:pPr>
            <w:r>
              <w:rPr>
                <w:rFonts w:hint="eastAsia" w:ascii="宋体" w:hAnsi="宋体"/>
                <w:sz w:val="24"/>
              </w:rPr>
              <w:t>2.5压力范围:15～700 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cs="仿宋" w:asciiTheme="minorEastAsia" w:hAnsiTheme="minorEastAsia" w:eastAsiaTheme="minorEastAsia"/>
                <w:sz w:val="24"/>
              </w:rPr>
            </w:pPr>
          </w:p>
        </w:tc>
        <w:tc>
          <w:tcPr>
            <w:tcW w:w="1701" w:type="dxa"/>
            <w:gridSpan w:val="2"/>
            <w:vMerge w:val="continue"/>
            <w:vAlign w:val="center"/>
          </w:tcPr>
          <w:p>
            <w:pPr>
              <w:jc w:val="center"/>
              <w:rPr>
                <w:rFonts w:asciiTheme="minorEastAsia" w:hAnsiTheme="minorEastAsia" w:eastAsiaTheme="minorEastAsia"/>
                <w:sz w:val="24"/>
              </w:rPr>
            </w:pPr>
          </w:p>
        </w:tc>
        <w:tc>
          <w:tcPr>
            <w:tcW w:w="7087" w:type="dxa"/>
            <w:gridSpan w:val="3"/>
            <w:vAlign w:val="center"/>
          </w:tcPr>
          <w:p>
            <w:pPr>
              <w:widowControl/>
              <w:jc w:val="left"/>
              <w:rPr>
                <w:rFonts w:asciiTheme="minorEastAsia" w:hAnsiTheme="minorEastAsia" w:eastAsiaTheme="minorEastAsia"/>
                <w:color w:val="000000"/>
                <w:kern w:val="0"/>
                <w:sz w:val="24"/>
              </w:rPr>
            </w:pPr>
            <w:r>
              <w:rPr>
                <w:rFonts w:hint="eastAsia" w:ascii="宋体" w:hAnsi="宋体"/>
                <w:sz w:val="24"/>
              </w:rPr>
              <w:t>2.6压力精度等级:±2.5 %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vAlign w:val="center"/>
          </w:tcPr>
          <w:p>
            <w:pPr>
              <w:jc w:val="left"/>
              <w:rPr>
                <w:rFonts w:ascii="宋体" w:hAnsi="宋体"/>
                <w:sz w:val="24"/>
              </w:rPr>
            </w:pPr>
            <w:r>
              <w:rPr>
                <w:rFonts w:hint="eastAsia" w:ascii="宋体" w:hAnsi="宋体"/>
                <w:sz w:val="24"/>
              </w:rPr>
              <w:t>2.7压力显示精度:瞬时流量0.1L/min、累计流量0.001m</w:t>
            </w:r>
            <w:r>
              <w:rPr>
                <w:rFonts w:hint="eastAsia" w:ascii="宋体" w:hAnsi="宋体"/>
                <w:sz w:val="24"/>
                <w:vertAlign w:val="superscript"/>
              </w:rPr>
              <w:t>3</w:t>
            </w:r>
            <w:r>
              <w:rPr>
                <w:rFonts w:hint="eastAsia" w:ascii="宋体" w:hAnsi="宋体"/>
                <w:sz w:val="24"/>
              </w:rPr>
              <w:t>、</w:t>
            </w:r>
          </w:p>
          <w:p>
            <w:pPr>
              <w:widowControl/>
              <w:jc w:val="left"/>
              <w:rPr>
                <w:rFonts w:asciiTheme="minorEastAsia" w:hAnsiTheme="minorEastAsia" w:eastAsiaTheme="minorEastAsia"/>
                <w:color w:val="000000"/>
                <w:kern w:val="0"/>
                <w:sz w:val="24"/>
              </w:rPr>
            </w:pPr>
            <w:r>
              <w:rPr>
                <w:rFonts w:hint="eastAsia" w:ascii="宋体" w:hAnsi="宋体"/>
                <w:sz w:val="24"/>
              </w:rPr>
              <w:t>压力0.001kPa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vAlign w:val="center"/>
          </w:tcPr>
          <w:p>
            <w:pPr>
              <w:widowControl/>
              <w:jc w:val="left"/>
              <w:rPr>
                <w:rFonts w:asciiTheme="minorEastAsia" w:hAnsiTheme="minorEastAsia" w:eastAsiaTheme="minorEastAsia"/>
                <w:color w:val="000000"/>
                <w:kern w:val="0"/>
                <w:sz w:val="24"/>
              </w:rPr>
            </w:pPr>
            <w:r>
              <w:rPr>
                <w:rFonts w:hint="eastAsia" w:ascii="宋体" w:hAnsi="宋体"/>
                <w:sz w:val="24"/>
              </w:rPr>
              <w:t>★2.8工作日志：可保存至少3年工作日志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restart"/>
            <w:vAlign w:val="center"/>
          </w:tcPr>
          <w:p>
            <w:pPr>
              <w:jc w:val="center"/>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3</w:t>
            </w:r>
          </w:p>
        </w:tc>
        <w:tc>
          <w:tcPr>
            <w:tcW w:w="1701" w:type="dxa"/>
            <w:gridSpan w:val="2"/>
            <w:vMerge w:val="restart"/>
            <w:vAlign w:val="center"/>
          </w:tcPr>
          <w:p>
            <w:pPr>
              <w:jc w:val="center"/>
              <w:rPr>
                <w:rFonts w:asciiTheme="minorEastAsia" w:hAnsiTheme="minorEastAsia" w:eastAsiaTheme="minorEastAsia"/>
                <w:color w:val="000000"/>
                <w:kern w:val="0"/>
                <w:sz w:val="24"/>
              </w:rPr>
            </w:pPr>
            <w:r>
              <w:rPr>
                <w:rFonts w:hint="eastAsia" w:ascii="宋体" w:hAnsi="宋体"/>
                <w:sz w:val="22"/>
                <w:szCs w:val="22"/>
              </w:rPr>
              <w:t>其它配置要求</w:t>
            </w:r>
          </w:p>
        </w:tc>
        <w:tc>
          <w:tcPr>
            <w:tcW w:w="7087" w:type="dxa"/>
            <w:gridSpan w:val="3"/>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3.1 工业监控主机：硬板容量：≥500GB、内存：≥8GB网关（串口服务器）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3.2 监视器：尺寸：≥50英寸；分辨率：1920*1080：接口：HDMI，USB扩展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3.3 网关（串口服务器）：内核：ARM；网口：10/100M自适应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3.4 数据信号放大器：传输速率：300BPS～115.2KBPS；通讯距离：0～1200米（115200BPS～9600BPS）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Merge w:val="continue"/>
            <w:vAlign w:val="center"/>
          </w:tcPr>
          <w:p>
            <w:pPr>
              <w:jc w:val="center"/>
              <w:rPr>
                <w:rFonts w:asciiTheme="minorEastAsia" w:hAnsiTheme="minorEastAsia" w:eastAsiaTheme="minorEastAsia"/>
                <w:color w:val="000000"/>
                <w:kern w:val="0"/>
                <w:sz w:val="24"/>
              </w:rPr>
            </w:pPr>
          </w:p>
        </w:tc>
        <w:tc>
          <w:tcPr>
            <w:tcW w:w="1701" w:type="dxa"/>
            <w:gridSpan w:val="2"/>
            <w:vMerge w:val="continue"/>
            <w:vAlign w:val="center"/>
          </w:tcPr>
          <w:p>
            <w:pPr>
              <w:jc w:val="center"/>
              <w:rPr>
                <w:rFonts w:asciiTheme="minorEastAsia" w:hAnsiTheme="minorEastAsia" w:eastAsiaTheme="minorEastAsia"/>
                <w:color w:val="000000"/>
                <w:kern w:val="0"/>
                <w:sz w:val="24"/>
              </w:rPr>
            </w:pPr>
          </w:p>
        </w:tc>
        <w:tc>
          <w:tcPr>
            <w:tcW w:w="7087" w:type="dxa"/>
            <w:gridSpan w:val="3"/>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3.5软件系统：医用气体压力-氧气流量实时监测软件、氧气流量统计结算软件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4</w:t>
            </w:r>
          </w:p>
        </w:tc>
        <w:tc>
          <w:tcPr>
            <w:tcW w:w="1701"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★产品认证</w:t>
            </w: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所有计量产品须提供国家计量认证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5</w:t>
            </w:r>
          </w:p>
        </w:tc>
        <w:tc>
          <w:tcPr>
            <w:tcW w:w="1701"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★报警方法</w:t>
            </w: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对各病区医气压力和氧气流量的异常情况进行报警触发，并将报警信息以短信、语音、微信、邮箱等方式推送给相关管理人员（至少15人）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6</w:t>
            </w:r>
          </w:p>
        </w:tc>
        <w:tc>
          <w:tcPr>
            <w:tcW w:w="1701" w:type="dxa"/>
            <w:gridSpan w:val="2"/>
            <w:vAlign w:val="center"/>
          </w:tcPr>
          <w:p>
            <w:pPr>
              <w:jc w:val="center"/>
              <w:rPr>
                <w:rFonts w:asciiTheme="minorEastAsia" w:hAnsiTheme="minorEastAsia" w:eastAsiaTheme="minorEastAsia"/>
                <w:color w:val="000000"/>
                <w:kern w:val="0"/>
                <w:sz w:val="24"/>
              </w:rPr>
            </w:pPr>
            <w:r>
              <w:rPr>
                <w:rFonts w:hint="eastAsia" w:ascii="宋体" w:hAnsi="宋体"/>
                <w:sz w:val="24"/>
              </w:rPr>
              <w:t>★通信费用</w:t>
            </w:r>
          </w:p>
        </w:tc>
        <w:tc>
          <w:tcPr>
            <w:tcW w:w="7087" w:type="dxa"/>
            <w:gridSpan w:val="3"/>
            <w:vAlign w:val="center"/>
          </w:tcPr>
          <w:p>
            <w:pPr>
              <w:widowControl/>
              <w:jc w:val="left"/>
              <w:rPr>
                <w:rFonts w:asciiTheme="minorEastAsia" w:hAnsiTheme="minorEastAsia" w:eastAsiaTheme="minorEastAsia"/>
                <w:sz w:val="24"/>
              </w:rPr>
            </w:pPr>
            <w:r>
              <w:rPr>
                <w:rFonts w:hint="eastAsia" w:ascii="宋体" w:hAnsi="宋体"/>
                <w:sz w:val="24"/>
              </w:rPr>
              <w:t>3年内，免收报警产生的通信费用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 w:val="24"/>
              </w:rPr>
            </w:pPr>
            <w:r>
              <w:rPr>
                <w:rFonts w:ascii="宋体" w:hAnsi="宋体"/>
                <w:b/>
                <w:sz w:val="24"/>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质保期</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备件库</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维修站</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西安有维修站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收费标准</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质保期外配件及维修价格8折优惠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培训支持</w:t>
            </w:r>
          </w:p>
        </w:tc>
        <w:tc>
          <w:tcPr>
            <w:tcW w:w="7087" w:type="dxa"/>
            <w:gridSpan w:val="3"/>
            <w:vAlign w:val="center"/>
          </w:tcPr>
          <w:p>
            <w:pPr>
              <w:rPr>
                <w:rFonts w:asciiTheme="minorEastAsia" w:hAnsiTheme="minorEastAsia" w:eastAsiaTheme="minorEastAsia"/>
                <w:sz w:val="24"/>
              </w:rPr>
            </w:pPr>
            <w:r>
              <w:rPr>
                <w:rFonts w:hint="eastAsia" w:cs="仿宋" w:asciiTheme="minorEastAsia" w:hAnsiTheme="minorEastAsia" w:eastAsiaTheme="minorEastAsia"/>
                <w:color w:val="000000"/>
                <w:sz w:val="24"/>
              </w:rPr>
              <w:t>提供免费现场培训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维修响应</w:t>
            </w:r>
          </w:p>
        </w:tc>
        <w:tc>
          <w:tcPr>
            <w:tcW w:w="7087" w:type="dxa"/>
            <w:gridSpan w:val="3"/>
            <w:vAlign w:val="center"/>
          </w:tcPr>
          <w:p>
            <w:pPr>
              <w:rPr>
                <w:rFonts w:asciiTheme="minorEastAsia" w:hAnsiTheme="minorEastAsia" w:eastAsiaTheme="minorEastAsia"/>
                <w:sz w:val="24"/>
              </w:rPr>
            </w:pPr>
            <w:r>
              <w:rPr>
                <w:rFonts w:hint="eastAsia" w:asciiTheme="minorEastAsia" w:hAnsiTheme="minorEastAsia" w:eastAsiaTheme="minorEastAsia"/>
                <w:sz w:val="24"/>
              </w:rPr>
              <w:t>1小时响应，3小时到达现场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7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到货时间</w:t>
            </w:r>
          </w:p>
        </w:tc>
        <w:tc>
          <w:tcPr>
            <w:tcW w:w="7087" w:type="dxa"/>
            <w:gridSpan w:val="3"/>
            <w:vAlign w:val="center"/>
          </w:tcPr>
          <w:p>
            <w:pPr>
              <w:rPr>
                <w:rFonts w:asciiTheme="minorEastAsia" w:hAnsiTheme="minorEastAsia" w:eastAsiaTheme="minorEastAsia"/>
                <w:sz w:val="24"/>
              </w:rPr>
            </w:pPr>
            <w:r>
              <w:rPr>
                <w:rFonts w:hint="eastAsia" w:cs="仿宋" w:asciiTheme="minorEastAsia" w:hAnsiTheme="minorEastAsia" w:eastAsiaTheme="minorEastAsia"/>
                <w:color w:val="000000"/>
                <w:sz w:val="24"/>
              </w:rPr>
              <w:t>合同签订后，180天内</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C20B9"/>
    <w:multiLevelType w:val="multilevel"/>
    <w:tmpl w:val="2D2C20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00D9"/>
    <w:rsid w:val="0064153B"/>
    <w:rsid w:val="006415FC"/>
    <w:rsid w:val="00644F13"/>
    <w:rsid w:val="006464E9"/>
    <w:rsid w:val="00671C60"/>
    <w:rsid w:val="00673B7C"/>
    <w:rsid w:val="00682485"/>
    <w:rsid w:val="006C75FB"/>
    <w:rsid w:val="006D1303"/>
    <w:rsid w:val="006D71A6"/>
    <w:rsid w:val="006F5127"/>
    <w:rsid w:val="0072212E"/>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54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56BC6"/>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0CE4C9D"/>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4">
    <w:name w:val="Document Map"/>
    <w:basedOn w:val="1"/>
    <w:link w:val="26"/>
    <w:qFormat/>
    <w:uiPriority w:val="0"/>
    <w:rPr>
      <w:rFonts w:ascii="宋体"/>
      <w:sz w:val="18"/>
      <w:szCs w:val="18"/>
    </w:rPr>
  </w:style>
  <w:style w:type="paragraph" w:styleId="5">
    <w:name w:val="annotation text"/>
    <w:basedOn w:val="1"/>
    <w:link w:val="18"/>
    <w:uiPriority w:val="0"/>
    <w:pPr>
      <w:jc w:val="left"/>
    </w:pPr>
  </w:style>
  <w:style w:type="paragraph" w:styleId="6">
    <w:name w:val="Body Text"/>
    <w:basedOn w:val="1"/>
    <w:link w:val="38"/>
    <w:semiHidden/>
    <w:unhideWhenUsed/>
    <w:qFormat/>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uiPriority w:val="0"/>
    <w:rPr>
      <w:b/>
      <w:bCs/>
    </w:rPr>
  </w:style>
  <w:style w:type="character" w:styleId="15">
    <w:name w:val="annotation reference"/>
    <w:basedOn w:val="14"/>
    <w:uiPriority w:val="0"/>
    <w:rPr>
      <w:sz w:val="21"/>
      <w:szCs w:val="21"/>
    </w:rPr>
  </w:style>
  <w:style w:type="character" w:customStyle="1" w:styleId="16">
    <w:name w:val="页眉 字符"/>
    <w:basedOn w:val="14"/>
    <w:link w:val="10"/>
    <w:uiPriority w:val="0"/>
    <w:rPr>
      <w:rFonts w:ascii="Times New Roman" w:hAnsi="Times New Roman" w:eastAsia="宋体" w:cs="宋体"/>
      <w:kern w:val="2"/>
      <w:sz w:val="18"/>
      <w:szCs w:val="18"/>
    </w:rPr>
  </w:style>
  <w:style w:type="character" w:customStyle="1" w:styleId="17">
    <w:name w:val="页脚 字符"/>
    <w:basedOn w:val="14"/>
    <w:link w:val="9"/>
    <w:uiPriority w:val="0"/>
    <w:rPr>
      <w:rFonts w:ascii="Times New Roman" w:hAnsi="Times New Roman" w:eastAsia="宋体" w:cs="宋体"/>
      <w:kern w:val="2"/>
      <w:sz w:val="18"/>
      <w:szCs w:val="18"/>
    </w:rPr>
  </w:style>
  <w:style w:type="character" w:customStyle="1" w:styleId="18">
    <w:name w:val="批注文字 字符"/>
    <w:basedOn w:val="14"/>
    <w:link w:val="5"/>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1077</Words>
  <Characters>1284</Characters>
  <Lines>10</Lines>
  <Paragraphs>2</Paragraphs>
  <TotalTime>0</TotalTime>
  <ScaleCrop>false</ScaleCrop>
  <LinksUpToDate>false</LinksUpToDate>
  <CharactersWithSpaces>1307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2022-06-20T15:49:09Z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E08C0AC002B245509E09D94C16DCFBED</vt:lpwstr>
  </property>
</Properties>
</file>