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-JK17-W1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高压灭菌器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利用适当温度和压力的饱和水蒸汽加热杀灭微生物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316L不锈钢设备主体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304不锈钢设备密封门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国际知名品牌控制器及控制系统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304不锈钢卫生级管路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安全阀、气动阀、压力表等核心仪表仪器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内置不锈钢格栅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技术文件资料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消毒内车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外搬运车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设备有效容积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≧1200L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主体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环形加强筋结构；内壳采用不锈钢材质体积≥316L，夹套、门板、门档条采用304不锈钢；主体设计寿命≥15年（30000次灭菌循环）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压力及温度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设计压力≥0.3 Mpa，设计温度≥144℃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开门方式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左右平移，方便科室人员操作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门胶圈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圆形门胶圈，医用透明高抗撕硅橡胶材质，压缩气密封，并且门胶条镶嵌在设备主体上，并非在设备门板上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加热方式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采用蒸汽和电两种方式；并且设备自带蒸汽发生器（提供佐证），蒸汽发生器使用寿命15年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＃7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气动阀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采用进口品牌气动阀，气动阀保证400万次无故障运行（提供海关报告）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#8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蒸发器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具备注水除气系统，提前预热蒸发器用水；具有自清洗、排污功能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控制系统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国际知名品牌PLC及触摸屏，人机操作界面，灭菌程序的压力、温度、时间等参数实时显示，可根据需要自行设定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灭菌程序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设备应有饲料灭菌、塑料物品灭菌、金属物品灭菌、织物灭菌、开口容器液体灭菌、固体废弃物灭菌、垫料灭菌、快速液体程序、BD测试、真空测试、自定义程序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低温无压排水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设备采用低温无压排水，不需要预留不锈钢排水管道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精准控制蒸发器水位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蒸发器水位智能连续控制，精准控制水位，降低蒸汽的含水量，降低灭菌器的湿包率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数据保存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热敏纸：内置热敏打印机，使用长效热敏纸，在适宜的环境下可保存10年；</w:t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bCs/>
                <w:sz w:val="24"/>
                <w:szCs w:val="24"/>
              </w:rPr>
              <w:t>显示屏存储：运行数据可存储在显示屏内，可存储数据量为6年/12000次灭菌循环；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验证检测报告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验证报告：根据中华人民共和国卫生行业标准WS 310-2016医院消毒供应中心相关要求，清洗机安装后需要按照标准，获得资质的人员现场做压力、温度检测，并且提供第三方检测报告；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办理压力容器使用证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★1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1、316L不锈钢设备主体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2、304不锈钢设备密封门1个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3、国际知名品牌控制器及控制系统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4、304不锈钢卫生级管路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5、安全阀、气动阀、压力表等核心仪表仪器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6、内置不锈钢格栅  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/>
              </w:rPr>
              <w:t>技术文件资料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</w:t>
            </w:r>
            <w:r>
              <w:rPr>
                <w:rFonts w:hint="eastAsia"/>
              </w:rPr>
              <w:t>消毒内车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1台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</w:t>
            </w:r>
            <w:r>
              <w:rPr>
                <w:rFonts w:hint="eastAsia"/>
              </w:rPr>
              <w:t>外搬运车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2台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整机质保≧3年（包含免费提供第三方年检报告）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厂家或供应商西安有备件库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厂家或供应商西安有维修站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质保期后，只收取更换配件成本费，无其他费用；专用配件折扣优惠政策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提供售前、售后技术服务，现场操作培训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2小时内电话响应，6小时到达现场，12小时内解决一般问题，48小时内解决重大问题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签订合同后30天到货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WQ1YTM2YTA4NzgzZDk2NGYzMGIxZjE4YmNkMTUifQ=="/>
  </w:docVars>
  <w:rsids>
    <w:rsidRoot w:val="14A22494"/>
    <w:rsid w:val="0A6F2CB2"/>
    <w:rsid w:val="112D1BEA"/>
    <w:rsid w:val="11426272"/>
    <w:rsid w:val="14A22494"/>
    <w:rsid w:val="17E62BA8"/>
    <w:rsid w:val="2EF15CFE"/>
    <w:rsid w:val="328C1A99"/>
    <w:rsid w:val="355C6FFB"/>
    <w:rsid w:val="436C6EC2"/>
    <w:rsid w:val="47691C8B"/>
    <w:rsid w:val="47D74099"/>
    <w:rsid w:val="53EE2AE5"/>
    <w:rsid w:val="5BD727B8"/>
    <w:rsid w:val="6DDB6669"/>
    <w:rsid w:val="76E375A0"/>
    <w:rsid w:val="78D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576"/>
        <w:tab w:val="left" w:pos="1296"/>
      </w:tabs>
      <w:adjustRightInd w:val="0"/>
      <w:spacing w:before="120" w:after="120" w:line="416" w:lineRule="atLeast"/>
      <w:jc w:val="left"/>
      <w:textAlignment w:val="baseline"/>
      <w:outlineLvl w:val="1"/>
    </w:pPr>
    <w:rPr>
      <w:rFonts w:ascii="宋体" w:hAnsi="Arial" w:eastAsia="黑体"/>
      <w:b/>
      <w:kern w:val="0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1143</Words>
  <Characters>1226</Characters>
  <Lines>0</Lines>
  <Paragraphs>0</Paragraphs>
  <TotalTime>0</TotalTime>
  <ScaleCrop>false</ScaleCrop>
  <LinksUpToDate>false</LinksUpToDate>
  <CharactersWithSpaces>1243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大漠雄鹰hjz</cp:lastModifiedBy>
  <dcterms:modified xsi:type="dcterms:W3CDTF">2023-03-23T09:55:29Z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4F11F2075E274C00AF4F56666D885441</vt:lpwstr>
  </property>
</Properties>
</file>