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A" w:rsidRPr="00152AA8" w:rsidRDefault="00684302" w:rsidP="00AE6E1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信息技术室</w:t>
      </w:r>
      <w:r w:rsidR="003D4008" w:rsidRPr="00152AA8">
        <w:rPr>
          <w:rFonts w:ascii="黑体" w:eastAsia="黑体" w:hAnsi="黑体" w:hint="eastAsia"/>
          <w:sz w:val="44"/>
          <w:szCs w:val="44"/>
        </w:rPr>
        <w:t>网络设备安全检查规范</w:t>
      </w:r>
    </w:p>
    <w:p w:rsidR="008225C9" w:rsidRDefault="008225C9" w:rsidP="003D4008">
      <w:r>
        <w:rPr>
          <w:rFonts w:hint="eastAsia"/>
        </w:rPr>
        <w:t>一、安全检查要求</w:t>
      </w:r>
    </w:p>
    <w:p w:rsidR="003D4008" w:rsidRDefault="003D4008" w:rsidP="003D4008">
      <w:r>
        <w:rPr>
          <w:rFonts w:hint="eastAsia"/>
        </w:rPr>
        <w:t>1、要求关键核心网络设备每周进行一次常规巡检工作，普通网络设备每月进行一次常规巡检工作。</w:t>
      </w:r>
    </w:p>
    <w:p w:rsidR="003D4008" w:rsidRDefault="003D4008" w:rsidP="003D4008">
      <w:r>
        <w:rPr>
          <w:rFonts w:hint="eastAsia"/>
        </w:rPr>
        <w:t>2、巡检结果应在巡检表上进行详细记录，并定期汇总巡检报告。原则上关键核心设备每周出一份巡检报告，每月出一份月度总结报告，每年出一份年度总结报告。</w:t>
      </w:r>
    </w:p>
    <w:p w:rsidR="003D4008" w:rsidRDefault="003D4008" w:rsidP="003D4008">
      <w:r>
        <w:rPr>
          <w:rFonts w:hint="eastAsia"/>
        </w:rPr>
        <w:t>3、巡检中如发现异常应及时通知相关技术人员或</w:t>
      </w:r>
      <w:r w:rsidR="007C10B6">
        <w:rPr>
          <w:rFonts w:hint="eastAsia"/>
        </w:rPr>
        <w:t>负责维保的公司</w:t>
      </w:r>
      <w:r>
        <w:rPr>
          <w:rFonts w:hint="eastAsia"/>
        </w:rPr>
        <w:t>进行解决，</w:t>
      </w:r>
      <w:r w:rsidR="007C10B6">
        <w:rPr>
          <w:rFonts w:hint="eastAsia"/>
        </w:rPr>
        <w:t>并按照网络设备管理制度记录故障解决情况。</w:t>
      </w:r>
    </w:p>
    <w:p w:rsidR="007C10B6" w:rsidRDefault="007C10B6" w:rsidP="003D4008">
      <w:r>
        <w:rPr>
          <w:rFonts w:hint="eastAsia"/>
        </w:rPr>
        <w:t>巡检内容及方法</w:t>
      </w:r>
      <w:bookmarkStart w:id="0" w:name="_GoBack"/>
      <w:bookmarkEnd w:id="0"/>
    </w:p>
    <w:p w:rsidR="007C10B6" w:rsidRDefault="008225C9" w:rsidP="003D4008">
      <w:r>
        <w:rPr>
          <w:rFonts w:hint="eastAsia"/>
        </w:rPr>
        <w:t>二、安全检查项目</w:t>
      </w:r>
    </w:p>
    <w:p w:rsidR="008225C9" w:rsidRDefault="008225C9" w:rsidP="003D4008">
      <w:r>
        <w:rPr>
          <w:rFonts w:hint="eastAsia"/>
        </w:rPr>
        <w:t>1、关键核心设备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7"/>
        <w:gridCol w:w="5268"/>
        <w:gridCol w:w="2337"/>
      </w:tblGrid>
      <w:tr w:rsidR="007C10B6" w:rsidTr="005330EE">
        <w:tc>
          <w:tcPr>
            <w:tcW w:w="538" w:type="pct"/>
            <w:vAlign w:val="center"/>
          </w:tcPr>
          <w:p w:rsidR="007C10B6" w:rsidRPr="00791790" w:rsidRDefault="007C10B6" w:rsidP="005330EE">
            <w:pPr>
              <w:jc w:val="center"/>
              <w:rPr>
                <w:b/>
              </w:rPr>
            </w:pPr>
            <w:r w:rsidRPr="00791790">
              <w:rPr>
                <w:rFonts w:hint="eastAsia"/>
                <w:b/>
              </w:rPr>
              <w:t>设备名称</w:t>
            </w:r>
          </w:p>
        </w:tc>
        <w:tc>
          <w:tcPr>
            <w:tcW w:w="3091" w:type="pct"/>
            <w:vAlign w:val="center"/>
          </w:tcPr>
          <w:p w:rsidR="007C10B6" w:rsidRPr="00791790" w:rsidRDefault="007C10B6" w:rsidP="005330EE">
            <w:pPr>
              <w:jc w:val="center"/>
              <w:rPr>
                <w:b/>
              </w:rPr>
            </w:pPr>
            <w:r w:rsidRPr="00791790">
              <w:rPr>
                <w:rFonts w:hint="eastAsia"/>
                <w:b/>
              </w:rPr>
              <w:t>运行状态</w:t>
            </w:r>
          </w:p>
        </w:tc>
        <w:tc>
          <w:tcPr>
            <w:tcW w:w="1371" w:type="pct"/>
            <w:vAlign w:val="center"/>
          </w:tcPr>
          <w:p w:rsidR="007C10B6" w:rsidRPr="00791790" w:rsidRDefault="007C10B6" w:rsidP="005330EE">
            <w:pPr>
              <w:jc w:val="center"/>
              <w:rPr>
                <w:b/>
              </w:rPr>
            </w:pPr>
            <w:r w:rsidRPr="00791790">
              <w:rPr>
                <w:rFonts w:hint="eastAsia"/>
                <w:b/>
              </w:rPr>
              <w:t>处理结果</w:t>
            </w:r>
          </w:p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出口防火墙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ISP出口流量状态：</w:t>
            </w:r>
          </w:p>
          <w:p w:rsidR="007C10B6" w:rsidRDefault="007C10B6" w:rsidP="005330EE">
            <w:r>
              <w:rPr>
                <w:rFonts w:hint="eastAsia"/>
              </w:rPr>
              <w:t>电信-500：</w:t>
            </w:r>
          </w:p>
          <w:p w:rsidR="007C10B6" w:rsidRDefault="007C10B6" w:rsidP="005330EE">
            <w:r>
              <w:rPr>
                <w:rFonts w:hint="eastAsia"/>
              </w:rPr>
              <w:t>电信-200：</w:t>
            </w:r>
          </w:p>
          <w:p w:rsidR="007C10B6" w:rsidRDefault="007C10B6" w:rsidP="005330EE">
            <w:r>
              <w:rPr>
                <w:rFonts w:hint="eastAsia"/>
              </w:rPr>
              <w:t>联通：</w:t>
            </w:r>
          </w:p>
          <w:p w:rsidR="007C10B6" w:rsidRDefault="007C10B6" w:rsidP="005330EE">
            <w:r>
              <w:rPr>
                <w:rFonts w:hint="eastAsia"/>
              </w:rPr>
              <w:t>移动：</w:t>
            </w:r>
          </w:p>
          <w:p w:rsidR="007C10B6" w:rsidRDefault="007C10B6" w:rsidP="005330EE">
            <w:r>
              <w:rPr>
                <w:rFonts w:hint="eastAsia"/>
              </w:rPr>
              <w:t>教育网：</w:t>
            </w:r>
          </w:p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控制核心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rPr>
          <w:trHeight w:val="327"/>
        </w:trPr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BAS-O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BAS-H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办公区核心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学生区核心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家属区核心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代理服务器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无线AC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机房巡检设备运行状态正常</w:t>
            </w:r>
          </w:p>
          <w:p w:rsidR="007C10B6" w:rsidRDefault="007C10B6" w:rsidP="005330EE">
            <w:r>
              <w:rPr>
                <w:rFonts w:hint="eastAsia"/>
              </w:rPr>
              <w:t>IOS运行状态正常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无线AP</w:t>
            </w:r>
          </w:p>
        </w:tc>
        <w:tc>
          <w:tcPr>
            <w:tcW w:w="3091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空医系教室无线网络交换机主干链路故障，学院宿舍有2个AP掉线</w:t>
            </w: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  <w:tr w:rsidR="007C10B6" w:rsidTr="005330EE">
        <w:tc>
          <w:tcPr>
            <w:tcW w:w="538" w:type="pct"/>
            <w:vAlign w:val="center"/>
          </w:tcPr>
          <w:p w:rsidR="007C10B6" w:rsidRDefault="007C10B6" w:rsidP="005330EE">
            <w:r>
              <w:rPr>
                <w:rFonts w:hint="eastAsia"/>
              </w:rPr>
              <w:t>网络调整</w:t>
            </w:r>
          </w:p>
        </w:tc>
        <w:tc>
          <w:tcPr>
            <w:tcW w:w="3091" w:type="pct"/>
            <w:vAlign w:val="center"/>
          </w:tcPr>
          <w:p w:rsidR="007C10B6" w:rsidRPr="008E5CB0" w:rsidRDefault="007C10B6" w:rsidP="005330E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1" w:type="pct"/>
            <w:vAlign w:val="center"/>
          </w:tcPr>
          <w:p w:rsidR="007C10B6" w:rsidRDefault="007C10B6" w:rsidP="005330EE"/>
        </w:tc>
      </w:tr>
    </w:tbl>
    <w:p w:rsidR="007C10B6" w:rsidRDefault="007C10B6" w:rsidP="003D4008"/>
    <w:p w:rsidR="008225C9" w:rsidRDefault="008225C9" w:rsidP="003D4008"/>
    <w:p w:rsidR="008225C9" w:rsidRDefault="008225C9" w:rsidP="003D4008"/>
    <w:p w:rsidR="007C10B6" w:rsidRDefault="008225C9" w:rsidP="003D4008">
      <w:r>
        <w:rPr>
          <w:rFonts w:hint="eastAsia"/>
        </w:rPr>
        <w:t>2、接入设备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52"/>
        <w:gridCol w:w="1752"/>
        <w:gridCol w:w="2188"/>
        <w:gridCol w:w="1715"/>
        <w:gridCol w:w="1715"/>
      </w:tblGrid>
      <w:tr w:rsidR="008225C9" w:rsidTr="008225C9">
        <w:tc>
          <w:tcPr>
            <w:tcW w:w="67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E24F5">
              <w:rPr>
                <w:rFonts w:ascii="微软雅黑" w:eastAsia="微软雅黑" w:hAnsi="微软雅黑"/>
                <w:b/>
              </w:rPr>
              <w:t>检查内容</w:t>
            </w: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E24F5">
              <w:rPr>
                <w:rFonts w:ascii="微软雅黑" w:eastAsia="微软雅黑" w:hAnsi="微软雅黑"/>
                <w:b/>
              </w:rPr>
              <w:t>检查项目</w:t>
            </w:r>
          </w:p>
        </w:tc>
        <w:tc>
          <w:tcPr>
            <w:tcW w:w="1284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E24F5">
              <w:rPr>
                <w:rFonts w:ascii="微软雅黑" w:eastAsia="微软雅黑" w:hAnsi="微软雅黑"/>
                <w:b/>
              </w:rPr>
              <w:t>检查结果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E24F5">
              <w:rPr>
                <w:rFonts w:ascii="微软雅黑" w:eastAsia="微软雅黑" w:hAnsi="微软雅黑"/>
                <w:b/>
              </w:rPr>
              <w:t>故障描述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  <w:b/>
              </w:rPr>
            </w:pPr>
            <w:r w:rsidRPr="008E24F5">
              <w:rPr>
                <w:rFonts w:ascii="微软雅黑" w:eastAsia="微软雅黑" w:hAnsi="微软雅黑"/>
                <w:b/>
              </w:rPr>
              <w:t>处理结果</w:t>
            </w:r>
          </w:p>
        </w:tc>
      </w:tr>
      <w:tr w:rsidR="008225C9" w:rsidTr="008225C9">
        <w:trPr>
          <w:trHeight w:val="634"/>
        </w:trPr>
        <w:tc>
          <w:tcPr>
            <w:tcW w:w="676" w:type="pct"/>
            <w:vMerge w:val="restar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系统状态指示灯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网络连通性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运行报警或异响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 w:val="restar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系统状态指示灯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网络连通性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运行报警或异响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 w:val="restar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系统状态指示灯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网络连通性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运行报警或异响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 w:val="restar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系统状态指示灯</w:t>
            </w:r>
          </w:p>
        </w:tc>
        <w:tc>
          <w:tcPr>
            <w:tcW w:w="1284" w:type="pct"/>
            <w:vAlign w:val="center"/>
          </w:tcPr>
          <w:p w:rsidR="008225C9" w:rsidRPr="00581E3B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网络连通性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运行报警或异响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 w:val="restar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学生区核心</w:t>
            </w: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系统状态指示灯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网络连通性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运行报警或异响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 w:val="restar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家属区核心</w:t>
            </w: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系统状态指示灯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网络连通性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225C9" w:rsidTr="008225C9">
        <w:trPr>
          <w:trHeight w:val="634"/>
        </w:trPr>
        <w:tc>
          <w:tcPr>
            <w:tcW w:w="676" w:type="pct"/>
            <w:vMerge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28" w:type="pct"/>
            <w:vAlign w:val="center"/>
          </w:tcPr>
          <w:p w:rsidR="008225C9" w:rsidRPr="008E24F5" w:rsidRDefault="008225C9" w:rsidP="005330EE">
            <w:pPr>
              <w:rPr>
                <w:rFonts w:ascii="微软雅黑" w:eastAsia="微软雅黑" w:hAnsi="微软雅黑"/>
              </w:rPr>
            </w:pPr>
            <w:r w:rsidRPr="008E24F5">
              <w:rPr>
                <w:rFonts w:ascii="微软雅黑" w:eastAsia="微软雅黑" w:hAnsi="微软雅黑"/>
              </w:rPr>
              <w:t>运行报警或异响</w:t>
            </w:r>
          </w:p>
        </w:tc>
        <w:tc>
          <w:tcPr>
            <w:tcW w:w="1284" w:type="pct"/>
            <w:vAlign w:val="center"/>
          </w:tcPr>
          <w:p w:rsidR="008225C9" w:rsidRPr="00A02208" w:rsidRDefault="008225C9" w:rsidP="005330EE">
            <w:pPr>
              <w:jc w:val="center"/>
              <w:rPr>
                <w:rFonts w:ascii="华文楷体" w:eastAsia="华文楷体" w:hAnsi="华文楷体"/>
              </w:rPr>
            </w:pP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正常</w:t>
            </w:r>
            <w:r>
              <w:rPr>
                <w:rFonts w:ascii="华文楷体" w:eastAsia="华文楷体" w:hAnsi="华文楷体" w:hint="eastAsia"/>
              </w:rPr>
              <w:t xml:space="preserve">   </w:t>
            </w:r>
            <w:r w:rsidRPr="00A02208">
              <w:rPr>
                <w:rFonts w:ascii="华文楷体" w:eastAsia="华文楷体" w:hAnsi="华文楷体" w:hint="eastAsia"/>
              </w:rPr>
              <w:t>□</w:t>
            </w:r>
            <w:r w:rsidRPr="008E24F5">
              <w:rPr>
                <w:rFonts w:ascii="微软雅黑" w:eastAsia="微软雅黑" w:hAnsi="微软雅黑" w:hint="eastAsia"/>
              </w:rPr>
              <w:t>异常</w:t>
            </w: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06" w:type="pct"/>
            <w:vAlign w:val="center"/>
          </w:tcPr>
          <w:p w:rsidR="008225C9" w:rsidRPr="008E24F5" w:rsidRDefault="008225C9" w:rsidP="005330EE">
            <w:pPr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7C10B6" w:rsidRPr="007C10B6" w:rsidRDefault="007C10B6" w:rsidP="003D4008"/>
    <w:sectPr w:rsidR="007C10B6" w:rsidRPr="007C10B6" w:rsidSect="0062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94" w:rsidRDefault="00FE5894" w:rsidP="003D4008">
      <w:r>
        <w:separator/>
      </w:r>
    </w:p>
  </w:endnote>
  <w:endnote w:type="continuationSeparator" w:id="0">
    <w:p w:rsidR="00FE5894" w:rsidRDefault="00FE5894" w:rsidP="003D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94" w:rsidRDefault="00FE5894" w:rsidP="003D4008">
      <w:r>
        <w:separator/>
      </w:r>
    </w:p>
  </w:footnote>
  <w:footnote w:type="continuationSeparator" w:id="0">
    <w:p w:rsidR="00FE5894" w:rsidRDefault="00FE5894" w:rsidP="003D4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DD1"/>
    <w:multiLevelType w:val="hybridMultilevel"/>
    <w:tmpl w:val="D0D6202A"/>
    <w:lvl w:ilvl="0" w:tplc="7C3435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484"/>
    <w:rsid w:val="00152AA8"/>
    <w:rsid w:val="00187484"/>
    <w:rsid w:val="003D4008"/>
    <w:rsid w:val="00627478"/>
    <w:rsid w:val="00684302"/>
    <w:rsid w:val="007C10B6"/>
    <w:rsid w:val="008225C9"/>
    <w:rsid w:val="00A432FD"/>
    <w:rsid w:val="00A813ED"/>
    <w:rsid w:val="00AE6E11"/>
    <w:rsid w:val="00EC1EFA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008"/>
    <w:rPr>
      <w:sz w:val="18"/>
      <w:szCs w:val="18"/>
    </w:rPr>
  </w:style>
  <w:style w:type="paragraph" w:styleId="a5">
    <w:name w:val="List Paragraph"/>
    <w:basedOn w:val="a"/>
    <w:uiPriority w:val="34"/>
    <w:qFormat/>
    <w:rsid w:val="003D4008"/>
    <w:pPr>
      <w:ind w:firstLineChars="200" w:firstLine="420"/>
    </w:pPr>
  </w:style>
  <w:style w:type="table" w:styleId="a6">
    <w:name w:val="Table Grid"/>
    <w:basedOn w:val="a1"/>
    <w:uiPriority w:val="59"/>
    <w:rsid w:val="007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shangzitian</cp:lastModifiedBy>
  <cp:revision>5</cp:revision>
  <cp:lastPrinted>2019-07-19T02:54:00Z</cp:lastPrinted>
  <dcterms:created xsi:type="dcterms:W3CDTF">2019-07-19T02:28:00Z</dcterms:created>
  <dcterms:modified xsi:type="dcterms:W3CDTF">2019-11-26T06:13:00Z</dcterms:modified>
</cp:coreProperties>
</file>