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napToGrid w:val="0"/>
        <w:spacing w:line="500" w:lineRule="exact"/>
        <w:ind w:right="-13" w:rightChars="-6"/>
        <w:jc w:val="both"/>
        <w:textAlignment w:val="auto"/>
        <w:rPr>
          <w:rFonts w:hint="eastAsia" w:ascii="黑体" w:hAnsi="黑体" w:eastAsia="黑体" w:cs="黑体"/>
          <w:b w:val="0"/>
          <w:bCs/>
          <w:kern w:val="2"/>
          <w:sz w:val="32"/>
          <w:szCs w:val="32"/>
          <w:lang w:val="en-US" w:eastAsia="zh-CN"/>
        </w:rPr>
      </w:pPr>
      <w:r>
        <w:rPr>
          <w:rFonts w:hint="eastAsia" w:ascii="黑体" w:hAnsi="黑体" w:eastAsia="黑体" w:cs="黑体"/>
          <w:b w:val="0"/>
          <w:bCs/>
          <w:kern w:val="2"/>
          <w:sz w:val="32"/>
          <w:szCs w:val="32"/>
          <w:lang w:val="en-US" w:eastAsia="zh-CN"/>
        </w:rPr>
        <w:t>附件2</w:t>
      </w:r>
    </w:p>
    <w:p>
      <w:pPr>
        <w:keepNext w:val="0"/>
        <w:keepLines w:val="0"/>
        <w:pageBreakBefore w:val="0"/>
        <w:kinsoku/>
        <w:wordWrap/>
        <w:overflowPunct/>
        <w:autoSpaceDE/>
        <w:autoSpaceDN/>
        <w:bidi w:val="0"/>
        <w:snapToGrid w:val="0"/>
        <w:spacing w:line="500" w:lineRule="exact"/>
        <w:ind w:right="-13" w:rightChars="-6" w:firstLine="883" w:firstLineChars="200"/>
        <w:jc w:val="center"/>
        <w:textAlignment w:val="auto"/>
        <w:rPr>
          <w:rFonts w:ascii="Times New Roman" w:hAnsi="Times New Roman" w:eastAsia="方正小标宋简体" w:cs="Times New Roman"/>
          <w:b/>
          <w:kern w:val="2"/>
          <w:sz w:val="44"/>
          <w:szCs w:val="44"/>
        </w:rPr>
      </w:pPr>
      <w:r>
        <w:rPr>
          <w:rFonts w:ascii="Times New Roman" w:hAnsi="Times New Roman" w:eastAsia="方正小标宋简体" w:cs="Times New Roman"/>
          <w:b/>
          <w:kern w:val="2"/>
          <w:sz w:val="44"/>
          <w:szCs w:val="44"/>
        </w:rPr>
        <w:t>2024年博士研究生各专业报考要求</w:t>
      </w:r>
    </w:p>
    <w:p>
      <w:pPr>
        <w:keepNext w:val="0"/>
        <w:keepLines w:val="0"/>
        <w:pageBreakBefore w:val="0"/>
        <w:kinsoku/>
        <w:wordWrap/>
        <w:overflowPunct/>
        <w:autoSpaceDE/>
        <w:autoSpaceDN/>
        <w:bidi w:val="0"/>
        <w:snapToGrid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bookmarkStart w:id="1" w:name="_GoBack"/>
      <w:bookmarkEnd w:id="1"/>
    </w:p>
    <w:p>
      <w:pPr>
        <w:keepNext w:val="0"/>
        <w:keepLines w:val="0"/>
        <w:pageBreakBefore w:val="0"/>
        <w:kinsoku/>
        <w:wordWrap/>
        <w:overflowPunct/>
        <w:topLinePunct w:val="0"/>
        <w:autoSpaceDE/>
        <w:autoSpaceDN/>
        <w:bidi w:val="0"/>
        <w:adjustRightInd/>
        <w:snapToGrid w:val="0"/>
        <w:spacing w:line="500" w:lineRule="exact"/>
        <w:ind w:right="-13" w:rightChars="-6" w:firstLine="600" w:firstLineChars="200"/>
        <w:jc w:val="left"/>
        <w:textAlignment w:val="auto"/>
        <w:rPr>
          <w:rFonts w:hint="eastAsia" w:ascii="Times New Roman" w:hAnsi="Times New Roman" w:eastAsia="黑体" w:cs="Times New Roman"/>
          <w:kern w:val="2"/>
          <w:sz w:val="30"/>
          <w:szCs w:val="30"/>
        </w:rPr>
      </w:pPr>
      <w:r>
        <w:rPr>
          <w:rFonts w:ascii="Times New Roman" w:hAnsi="Times New Roman" w:eastAsia="黑体" w:cs="Times New Roman"/>
          <w:bCs/>
          <w:kern w:val="2"/>
          <w:sz w:val="30"/>
          <w:szCs w:val="30"/>
        </w:rPr>
        <w:t>040200</w:t>
      </w:r>
      <w:r>
        <w:rPr>
          <w:rFonts w:ascii="Times New Roman" w:hAnsi="Times New Roman" w:eastAsia="黑体" w:cs="Times New Roman"/>
          <w:kern w:val="2"/>
          <w:sz w:val="30"/>
          <w:szCs w:val="30"/>
        </w:rPr>
        <w:t>心理学学术学位</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Times New Roman" w:hAnsi="Times New Roman" w:eastAsia="仿宋_GB2312" w:cs="Times New Roman"/>
          <w:bCs/>
          <w:kern w:val="0"/>
          <w:sz w:val="24"/>
          <w:szCs w:val="24"/>
        </w:rPr>
      </w:pPr>
      <w:r>
        <w:rPr>
          <w:rFonts w:ascii="Times New Roman" w:hAnsi="Times New Roman" w:eastAsia="仿宋_GB2312" w:cs="Times New Roman"/>
          <w:kern w:val="0"/>
          <w:sz w:val="24"/>
          <w:szCs w:val="24"/>
        </w:rPr>
        <w:t>报考心理学学术学位博士，硕士毕业专业应相同或相近。</w:t>
      </w:r>
      <w:r>
        <w:rPr>
          <w:rFonts w:ascii="Times New Roman" w:hAnsi="Times New Roman" w:eastAsia="仿宋_GB2312" w:cs="Times New Roman"/>
          <w:sz w:val="24"/>
          <w:szCs w:val="24"/>
        </w:rPr>
        <w:t>硕士为</w:t>
      </w:r>
      <w:r>
        <w:rPr>
          <w:rFonts w:ascii="Times New Roman" w:hAnsi="Times New Roman" w:eastAsia="仿宋_GB2312" w:cs="Times New Roman"/>
          <w:bCs/>
          <w:kern w:val="0"/>
          <w:sz w:val="24"/>
          <w:szCs w:val="24"/>
        </w:rPr>
        <w:t>医学类、教育学类教育学专业、生物科学类神经科学、（应用）统计学、人工智能、计算机科学与技术、生物医学工程专业可跨学科报考。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ind w:firstLine="480" w:firstLineChars="200"/>
              <w:jc w:val="center"/>
              <w:textAlignment w:val="auto"/>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专业类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ind w:firstLine="480" w:firstLineChars="200"/>
              <w:jc w:val="center"/>
              <w:textAlignment w:val="auto"/>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医学门类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0401教育学类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040101教育学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0710生物科学类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071006T神经科学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0712统计学类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071201统计学、071202应用统计学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0807电子信息类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080717T人工智能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0809计算机类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080901计算机科学与技术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0826生物医学工程类</w:t>
            </w:r>
          </w:p>
        </w:tc>
        <w:tc>
          <w:tcPr>
            <w:tcW w:w="6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500" w:lineRule="exact"/>
              <w:jc w:val="left"/>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082601生物医学工程</w:t>
            </w:r>
          </w:p>
        </w:tc>
      </w:tr>
    </w:tbl>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topLinePunct w:val="0"/>
        <w:autoSpaceDE/>
        <w:autoSpaceDN/>
        <w:bidi w:val="0"/>
        <w:adjustRightInd/>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p>
    <w:p>
      <w:pPr>
        <w:keepNext w:val="0"/>
        <w:keepLines w:val="0"/>
        <w:pageBreakBefore w:val="0"/>
        <w:kinsoku/>
        <w:wordWrap/>
        <w:overflowPunct/>
        <w:topLinePunct w:val="0"/>
        <w:autoSpaceDE/>
        <w:autoSpaceDN/>
        <w:bidi w:val="0"/>
        <w:adjustRightInd/>
        <w:snapToGrid w:val="0"/>
        <w:spacing w:line="500" w:lineRule="exact"/>
        <w:ind w:right="-13" w:rightChars="-6" w:firstLine="600" w:firstLineChars="200"/>
        <w:jc w:val="left"/>
        <w:textAlignment w:val="auto"/>
        <w:rPr>
          <w:rFonts w:hint="eastAsia" w:ascii="Times New Roman" w:hAnsi="Times New Roman" w:eastAsia="黑体" w:cs="Times New Roman"/>
          <w:kern w:val="2"/>
          <w:sz w:val="30"/>
          <w:szCs w:val="30"/>
        </w:rPr>
      </w:pPr>
      <w:r>
        <w:rPr>
          <w:rFonts w:ascii="Times New Roman" w:hAnsi="Times New Roman" w:eastAsia="黑体" w:cs="Times New Roman"/>
          <w:kern w:val="2"/>
          <w:sz w:val="30"/>
          <w:szCs w:val="30"/>
        </w:rPr>
        <w:t>071000生物学学术学位</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报考生物学学术学位博士，硕士毕业专业应相同或相近。</w:t>
      </w:r>
    </w:p>
    <w:p>
      <w:pPr>
        <w:keepNext w:val="0"/>
        <w:keepLines w:val="0"/>
        <w:pageBreakBefore w:val="0"/>
        <w:kinsoku/>
        <w:wordWrap/>
        <w:overflowPunct/>
        <w:autoSpaceDE/>
        <w:autoSpaceDN/>
        <w:bidi w:val="0"/>
        <w:snapToGrid w:val="0"/>
        <w:spacing w:line="500" w:lineRule="exact"/>
        <w:ind w:right="-13" w:rightChars="-6" w:firstLine="480" w:firstLineChars="200"/>
        <w:jc w:val="center"/>
        <w:textAlignment w:val="auto"/>
        <w:rPr>
          <w:rFonts w:ascii="Times New Roman" w:hAnsi="Times New Roman" w:eastAsia="黑体" w:cs="Times New Roman"/>
          <w:kern w:val="2"/>
          <w:sz w:val="24"/>
          <w:szCs w:val="24"/>
        </w:rPr>
      </w:pPr>
    </w:p>
    <w:p>
      <w:pPr>
        <w:keepNext w:val="0"/>
        <w:keepLines w:val="0"/>
        <w:pageBreakBefore w:val="0"/>
        <w:kinsoku/>
        <w:wordWrap/>
        <w:overflowPunct/>
        <w:topLinePunct w:val="0"/>
        <w:autoSpaceDE/>
        <w:autoSpaceDN/>
        <w:bidi w:val="0"/>
        <w:adjustRightInd/>
        <w:snapToGrid w:val="0"/>
        <w:spacing w:line="500" w:lineRule="atLeast"/>
        <w:ind w:firstLine="600" w:firstLineChars="200"/>
        <w:jc w:val="left"/>
        <w:textAlignment w:val="auto"/>
        <w:rPr>
          <w:rFonts w:ascii="Times New Roman" w:hAnsi="Times New Roman" w:eastAsia="黑体" w:cs="Times New Roman"/>
          <w:kern w:val="2"/>
          <w:sz w:val="30"/>
          <w:szCs w:val="30"/>
        </w:rPr>
      </w:pPr>
    </w:p>
    <w:p>
      <w:pPr>
        <w:keepNext w:val="0"/>
        <w:keepLines w:val="0"/>
        <w:pageBreakBefore w:val="0"/>
        <w:kinsoku/>
        <w:wordWrap/>
        <w:overflowPunct/>
        <w:topLinePunct w:val="0"/>
        <w:autoSpaceDE/>
        <w:autoSpaceDN/>
        <w:bidi w:val="0"/>
        <w:adjustRightInd/>
        <w:snapToGrid w:val="0"/>
        <w:spacing w:line="500" w:lineRule="atLeast"/>
        <w:ind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083100生物医学工程学术学位</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生物医学工程学术学位博士，硕士毕业专业应相同或相近。硕士为数学类、物理学类、化学类、生物科学类、统计学类、力学类、机械类、仪器类、材料类、电气类、电子信息类、自动化类、计算机类、化工与制药类、航空航天类、兵器类、核工程类、环境科学与工程类、安全科学与工程类、生物工程类、基础医学类、临床医学类、口腔医学类、公共卫生与预防医学类、医学技术类相关专业可跨学科报考。</w:t>
      </w:r>
    </w:p>
    <w:p>
      <w:pPr>
        <w:keepNext w:val="0"/>
        <w:keepLines w:val="0"/>
        <w:pageBreakBefore w:val="0"/>
        <w:kinsoku/>
        <w:wordWrap/>
        <w:overflowPunct/>
        <w:autoSpaceDE/>
        <w:autoSpaceDN/>
        <w:bidi w:val="0"/>
        <w:snapToGrid w:val="0"/>
        <w:spacing w:line="500" w:lineRule="exact"/>
        <w:ind w:right="-13" w:rightChars="-6" w:firstLine="482" w:firstLineChars="200"/>
        <w:jc w:val="center"/>
        <w:textAlignment w:val="auto"/>
        <w:rPr>
          <w:rFonts w:hint="eastAsia"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100100基础医学学术学位</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报考基础医学学术学位博士，硕士毕业专业应与报考学科相同或相近。</w:t>
      </w: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kern w:val="2"/>
          <w:sz w:val="24"/>
          <w:szCs w:val="24"/>
        </w:rPr>
      </w:pP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kern w:val="2"/>
          <w:sz w:val="24"/>
          <w:szCs w:val="24"/>
        </w:rPr>
      </w:pPr>
    </w:p>
    <w:p>
      <w:pPr>
        <w:keepNext w:val="0"/>
        <w:keepLines w:val="0"/>
        <w:pageBreakBefore w:val="0"/>
        <w:kinsoku/>
        <w:wordWrap/>
        <w:overflowPunct/>
        <w:autoSpaceDE/>
        <w:autoSpaceDN/>
        <w:bidi w:val="0"/>
        <w:adjustRightInd w:val="0"/>
        <w:spacing w:line="500" w:lineRule="exact"/>
        <w:ind w:right="-13" w:rightChars="-6" w:firstLine="600" w:firstLineChars="200"/>
        <w:jc w:val="left"/>
        <w:textAlignment w:val="auto"/>
        <w:rPr>
          <w:rFonts w:ascii="Times New Roman" w:hAnsi="Times New Roman" w:eastAsia="楷体_GB2312" w:cs="Times New Roman"/>
          <w:b/>
          <w:bCs/>
          <w:kern w:val="2"/>
          <w:sz w:val="24"/>
          <w:szCs w:val="24"/>
        </w:rPr>
      </w:pPr>
      <w:r>
        <w:rPr>
          <w:rFonts w:ascii="Times New Roman" w:hAnsi="Times New Roman" w:eastAsia="黑体" w:cs="Times New Roman"/>
          <w:kern w:val="2"/>
          <w:sz w:val="30"/>
          <w:szCs w:val="30"/>
        </w:rPr>
        <w:t>100200临床医学学术学位</w:t>
      </w:r>
    </w:p>
    <w:p>
      <w:pPr>
        <w:keepNext w:val="0"/>
        <w:keepLines w:val="0"/>
        <w:pageBreakBefore w:val="0"/>
        <w:kinsoku/>
        <w:wordWrap/>
        <w:overflowPunct/>
        <w:autoSpaceDE/>
        <w:autoSpaceDN/>
        <w:bidi w:val="0"/>
        <w:spacing w:line="500" w:lineRule="exact"/>
        <w:ind w:firstLine="480" w:firstLineChars="200"/>
        <w:textAlignment w:val="auto"/>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报考临床医学学术学位博士，硕士毕业专业应相同或相近。硕士为基础医学、口腔医学等相关专业可跨学科报考。</w:t>
      </w:r>
    </w:p>
    <w:p>
      <w:pPr>
        <w:keepNext w:val="0"/>
        <w:keepLines w:val="0"/>
        <w:pageBreakBefore w:val="0"/>
        <w:kinsoku/>
        <w:wordWrap/>
        <w:overflowPunct/>
        <w:autoSpaceDE/>
        <w:autoSpaceDN/>
        <w:bidi w:val="0"/>
        <w:snapToGrid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pacing w:line="500" w:lineRule="exact"/>
        <w:ind w:right="-13" w:rightChars="-6" w:firstLine="880" w:firstLineChars="200"/>
        <w:jc w:val="center"/>
        <w:textAlignment w:val="auto"/>
        <w:rPr>
          <w:rFonts w:ascii="Times New Roman" w:hAnsi="Times New Roman" w:eastAsia="黑体" w:cs="Times New Roman"/>
          <w:bCs/>
          <w:kern w:val="2"/>
          <w:sz w:val="44"/>
          <w:szCs w:val="4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100300口腔医学学术学位</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报考口腔医学学术学位博士，硕士毕业专业可相同或相关，接受医学、理学、工学门类专业跨学科报考。</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黑体" w:cs="Times New Roman"/>
          <w:kern w:val="2"/>
          <w:sz w:val="24"/>
          <w:szCs w:val="24"/>
        </w:rPr>
      </w:pP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黑体" w:cs="Times New Roman"/>
          <w:kern w:val="2"/>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100400公共卫生与预防医学学术学位</w:t>
      </w:r>
    </w:p>
    <w:p>
      <w:pPr>
        <w:keepNext w:val="0"/>
        <w:keepLines w:val="0"/>
        <w:pageBreakBefore w:val="0"/>
        <w:kinsoku/>
        <w:wordWrap/>
        <w:overflowPunct/>
        <w:autoSpaceDE/>
        <w:autoSpaceDN/>
        <w:bidi w:val="0"/>
        <w:spacing w:line="500" w:lineRule="exact"/>
        <w:ind w:right="-13" w:rightChars="-6"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公共卫生与预防医学学术学位博士，硕士毕业专业应相同或相近。硕士为基础医学、临床医学、口腔医学、中医学、中西医结合、生物学、生物医学工程、药学、中药学、特种医学、医学技术、护理学可跨学科报考。数学、统计学、计算机科学与技术、应用经济学中的经济统计学可跨学科报考卫生统计学方向的博士研究生。</w:t>
      </w: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100700药学学术学位</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报考药学学术学位博士，硕士毕业专业应相同或相近。硕士为基础医学类、临床医学类、化学类、生物科学类、材料类专业可跨学科报考。</w:t>
      </w:r>
    </w:p>
    <w:p>
      <w:pPr>
        <w:keepNext w:val="0"/>
        <w:keepLines w:val="0"/>
        <w:pageBreakBefore w:val="0"/>
        <w:kinsoku/>
        <w:wordWrap/>
        <w:overflowPunct/>
        <w:autoSpaceDE/>
        <w:autoSpaceDN/>
        <w:bidi w:val="0"/>
        <w:snapToGrid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pacing w:line="500" w:lineRule="exact"/>
        <w:ind w:right="-13" w:rightChars="-6" w:firstLine="600" w:firstLineChars="200"/>
        <w:jc w:val="left"/>
        <w:textAlignment w:val="auto"/>
        <w:rPr>
          <w:rFonts w:ascii="Times New Roman" w:hAnsi="Times New Roman" w:eastAsia="黑体" w:cs="Times New Roman"/>
          <w:kern w:val="2"/>
          <w:sz w:val="30"/>
          <w:szCs w:val="30"/>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100800中药学学术学位</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报考中药学学术学位博士，硕士毕业专业应相同或相近。硕士为药学类、中医学类或临床医学类专业可跨学科报考。</w:t>
      </w: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pacing w:line="500" w:lineRule="exact"/>
        <w:ind w:right="-13" w:rightChars="-6" w:firstLine="600" w:firstLineChars="200"/>
        <w:jc w:val="center"/>
        <w:textAlignment w:val="auto"/>
        <w:rPr>
          <w:rFonts w:ascii="Times New Roman" w:hAnsi="Times New Roman" w:eastAsia="黑体" w:cs="Times New Roman"/>
          <w:kern w:val="2"/>
          <w:sz w:val="30"/>
          <w:szCs w:val="30"/>
        </w:rPr>
      </w:pPr>
    </w:p>
    <w:p>
      <w:pPr>
        <w:keepNext w:val="0"/>
        <w:keepLines w:val="0"/>
        <w:pageBreakBefore w:val="0"/>
        <w:kinsoku/>
        <w:wordWrap/>
        <w:overflowPunct/>
        <w:autoSpaceDE/>
        <w:autoSpaceDN/>
        <w:bidi w:val="0"/>
        <w:snapToGrid w:val="0"/>
        <w:spacing w:line="500" w:lineRule="exact"/>
        <w:ind w:firstLine="600" w:firstLineChars="200"/>
        <w:jc w:val="left"/>
        <w:textAlignment w:val="auto"/>
        <w:rPr>
          <w:rFonts w:ascii="Times New Roman" w:hAnsi="Times New Roman" w:eastAsia="楷体_GB2312" w:cs="Times New Roman"/>
          <w:b/>
          <w:bCs/>
          <w:kern w:val="2"/>
          <w:sz w:val="24"/>
          <w:szCs w:val="24"/>
        </w:rPr>
      </w:pPr>
      <w:r>
        <w:rPr>
          <w:rFonts w:ascii="Times New Roman" w:hAnsi="Times New Roman" w:eastAsia="黑体" w:cs="Times New Roman"/>
          <w:kern w:val="2"/>
          <w:sz w:val="30"/>
          <w:szCs w:val="30"/>
        </w:rPr>
        <w:t>100900特种医学学术学位</w:t>
      </w:r>
    </w:p>
    <w:p>
      <w:pPr>
        <w:keepNext w:val="0"/>
        <w:keepLines w:val="0"/>
        <w:pageBreakBefore w:val="0"/>
        <w:kinsoku/>
        <w:wordWrap/>
        <w:overflowPunct/>
        <w:autoSpaceDE/>
        <w:autoSpaceDN/>
        <w:bidi w:val="0"/>
        <w:snapToGrid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报考特种医学学术学位博士人员，硕士毕业专业应相同或相近，硕士为基础医学、临床医学、生物学、生物医学工程、预防医学、心理学、信息科学、材料科学专业可跨一级学科报考。</w:t>
      </w: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101100护理学学术学位</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报考护理学学术学位博士，硕士毕业专业应相同或相近。</w:t>
      </w:r>
    </w:p>
    <w:p>
      <w:pPr>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cs="Times New Roman"/>
          <w:sz w:val="24"/>
          <w:szCs w:val="24"/>
        </w:rPr>
      </w:pPr>
    </w:p>
    <w:p>
      <w:pPr>
        <w:pStyle w:val="3"/>
        <w:keepNext w:val="0"/>
        <w:keepLines w:val="0"/>
        <w:pageBreakBefore w:val="0"/>
        <w:kinsoku/>
        <w:wordWrap/>
        <w:overflowPunct/>
        <w:autoSpaceDE/>
        <w:autoSpaceDN/>
        <w:bidi w:val="0"/>
        <w:spacing w:line="500" w:lineRule="exact"/>
        <w:ind w:firstLine="480" w:firstLineChars="200"/>
        <w:textAlignment w:val="auto"/>
        <w:rPr>
          <w:rFonts w:ascii="Times New Roman" w:hAnsi="Times New Roman" w:cs="Times New Roman"/>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120400公共管理学术学位</w:t>
      </w:r>
    </w:p>
    <w:p>
      <w:pPr>
        <w:keepNext w:val="0"/>
        <w:keepLines w:val="0"/>
        <w:pageBreakBefore w:val="0"/>
        <w:kinsoku/>
        <w:wordWrap/>
        <w:overflowPunct/>
        <w:autoSpaceDE/>
        <w:autoSpaceDN/>
        <w:bidi w:val="0"/>
        <w:spacing w:line="500" w:lineRule="exact"/>
        <w:ind w:right="-13" w:rightChars="-6"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报考公共管理学术学位博士，硕士专业应相同或相近，管理学、经济学、法学、教育学、军事学、医学等6大学科门类下属专业均可报考。</w:t>
      </w:r>
    </w:p>
    <w:p>
      <w:pPr>
        <w:keepNext w:val="0"/>
        <w:keepLines w:val="0"/>
        <w:pageBreakBefore w:val="0"/>
        <w:kinsoku/>
        <w:wordWrap/>
        <w:overflowPunct/>
        <w:autoSpaceDE/>
        <w:autoSpaceDN/>
        <w:bidi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105100临床医学专业学位</w:t>
      </w:r>
    </w:p>
    <w:p>
      <w:pPr>
        <w:keepNext w:val="0"/>
        <w:keepLines w:val="0"/>
        <w:pageBreakBefore w:val="0"/>
        <w:kinsoku/>
        <w:wordWrap/>
        <w:overflowPunct/>
        <w:autoSpaceDE/>
        <w:autoSpaceDN/>
        <w:bidi w:val="0"/>
        <w:spacing w:line="500" w:lineRule="exact"/>
        <w:ind w:firstLine="480" w:firstLineChars="200"/>
        <w:jc w:val="left"/>
        <w:textAlignment w:val="auto"/>
        <w:rPr>
          <w:rFonts w:ascii="Times New Roman" w:hAnsi="Times New Roman" w:eastAsia="仿宋_GB2312" w:cs="Times New Roman"/>
          <w:sz w:val="24"/>
          <w:szCs w:val="24"/>
        </w:rPr>
      </w:pPr>
      <w:bookmarkStart w:id="0" w:name="_Hlk119744661"/>
      <w:r>
        <w:rPr>
          <w:rFonts w:ascii="Times New Roman" w:hAnsi="Times New Roman" w:eastAsia="仿宋_GB2312" w:cs="Times New Roman"/>
          <w:sz w:val="24"/>
          <w:szCs w:val="24"/>
        </w:rPr>
        <w:t>报考临床医学专业学位博士，</w:t>
      </w:r>
      <w:bookmarkEnd w:id="0"/>
      <w:r>
        <w:rPr>
          <w:rFonts w:hint="eastAsia" w:ascii="Times New Roman" w:hAnsi="Times New Roman" w:eastAsia="仿宋_GB2312" w:cs="Times New Roman"/>
          <w:sz w:val="24"/>
          <w:szCs w:val="24"/>
          <w:lang w:val="en-US" w:eastAsia="zh-CN"/>
        </w:rPr>
        <w:t>报考条件见简章</w:t>
      </w:r>
      <w:r>
        <w:rPr>
          <w:rFonts w:ascii="Times New Roman" w:hAnsi="Times New Roman" w:eastAsia="仿宋_GB2312" w:cs="Times New Roman"/>
          <w:sz w:val="24"/>
          <w:szCs w:val="24"/>
        </w:rPr>
        <w:t>。</w:t>
      </w:r>
    </w:p>
    <w:p>
      <w:pPr>
        <w:keepNext w:val="0"/>
        <w:keepLines w:val="0"/>
        <w:pageBreakBefore w:val="0"/>
        <w:kinsoku/>
        <w:wordWrap/>
        <w:overflowPunct/>
        <w:autoSpaceDE/>
        <w:autoSpaceDN/>
        <w:bidi w:val="0"/>
        <w:snapToGrid w:val="0"/>
        <w:spacing w:line="500" w:lineRule="exact"/>
        <w:ind w:right="-13" w:rightChars="-6" w:firstLine="482" w:firstLineChars="200"/>
        <w:jc w:val="center"/>
        <w:textAlignment w:val="auto"/>
        <w:rPr>
          <w:rFonts w:ascii="Times New Roman" w:hAnsi="Times New Roman" w:eastAsia="方正小标宋简体" w:cs="Times New Roman"/>
          <w:b/>
          <w:kern w:val="2"/>
          <w:sz w:val="24"/>
          <w:szCs w:val="24"/>
        </w:rPr>
      </w:pPr>
    </w:p>
    <w:p>
      <w:pPr>
        <w:keepNext w:val="0"/>
        <w:keepLines w:val="0"/>
        <w:pageBreakBefore w:val="0"/>
        <w:kinsoku/>
        <w:wordWrap/>
        <w:overflowPunct/>
        <w:autoSpaceDE/>
        <w:autoSpaceDN/>
        <w:bidi w:val="0"/>
        <w:spacing w:line="500" w:lineRule="exact"/>
        <w:ind w:right="-13" w:rightChars="-6" w:firstLine="480" w:firstLineChars="200"/>
        <w:jc w:val="center"/>
        <w:textAlignment w:val="auto"/>
        <w:rPr>
          <w:rFonts w:ascii="Times New Roman" w:hAnsi="Times New Roman" w:eastAsia="黑体" w:cs="Times New Roman"/>
          <w:bCs/>
          <w:kern w:val="2"/>
          <w:sz w:val="24"/>
          <w:szCs w:val="24"/>
        </w:rPr>
      </w:pPr>
    </w:p>
    <w:p>
      <w:pPr>
        <w:keepNext w:val="0"/>
        <w:keepLines w:val="0"/>
        <w:pageBreakBefore w:val="0"/>
        <w:kinsoku/>
        <w:wordWrap/>
        <w:overflowPunct/>
        <w:autoSpaceDE/>
        <w:autoSpaceDN/>
        <w:bidi w:val="0"/>
        <w:snapToGrid w:val="0"/>
        <w:spacing w:line="500" w:lineRule="exact"/>
        <w:ind w:right="-13" w:rightChars="-6" w:firstLine="600" w:firstLineChars="200"/>
        <w:jc w:val="left"/>
        <w:textAlignment w:val="auto"/>
        <w:rPr>
          <w:rFonts w:ascii="Times New Roman" w:hAnsi="Times New Roman" w:eastAsia="黑体" w:cs="Times New Roman"/>
          <w:kern w:val="2"/>
          <w:sz w:val="30"/>
          <w:szCs w:val="30"/>
        </w:rPr>
      </w:pPr>
      <w:r>
        <w:rPr>
          <w:rFonts w:ascii="Times New Roman" w:hAnsi="Times New Roman" w:eastAsia="黑体" w:cs="Times New Roman"/>
          <w:kern w:val="2"/>
          <w:sz w:val="30"/>
          <w:szCs w:val="30"/>
        </w:rPr>
        <w:t>105200口腔医学专业学位</w:t>
      </w:r>
    </w:p>
    <w:p>
      <w:pPr>
        <w:keepNext w:val="0"/>
        <w:keepLines w:val="0"/>
        <w:pageBreakBefore w:val="0"/>
        <w:numPr>
          <w:ilvl w:val="0"/>
          <w:numId w:val="0"/>
        </w:numPr>
        <w:kinsoku/>
        <w:wordWrap/>
        <w:overflowPunct/>
        <w:autoSpaceDE/>
        <w:autoSpaceDN/>
        <w:bidi w:val="0"/>
        <w:spacing w:line="500" w:lineRule="exact"/>
        <w:ind w:firstLine="480" w:firstLineChars="200"/>
        <w:textAlignment w:val="auto"/>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口腔</w:t>
      </w:r>
      <w:r>
        <w:rPr>
          <w:rFonts w:ascii="Times New Roman" w:hAnsi="Times New Roman" w:eastAsia="仿宋_GB2312" w:cs="Times New Roman"/>
          <w:sz w:val="24"/>
          <w:szCs w:val="24"/>
        </w:rPr>
        <w:t>医学专业学位博士，</w:t>
      </w:r>
      <w:r>
        <w:rPr>
          <w:rFonts w:ascii="Times New Roman" w:hAnsi="Times New Roman" w:eastAsia="仿宋_GB2312" w:cs="Times New Roman"/>
          <w:kern w:val="0"/>
          <w:sz w:val="24"/>
          <w:szCs w:val="24"/>
        </w:rPr>
        <w:t>本科和硕士均须为口腔医学专业（本科须为全日制），并取得执业医师资格证书。</w:t>
      </w:r>
    </w:p>
    <w:p>
      <w:pPr>
        <w:keepNext w:val="0"/>
        <w:keepLines w:val="0"/>
        <w:pageBreakBefore w:val="0"/>
        <w:kinsoku/>
        <w:wordWrap/>
        <w:overflowPunct/>
        <w:autoSpaceDE/>
        <w:autoSpaceDN/>
        <w:bidi w:val="0"/>
        <w:spacing w:line="500" w:lineRule="exact"/>
        <w:ind w:right="-13" w:rightChars="-6"/>
        <w:jc w:val="both"/>
        <w:textAlignment w:val="auto"/>
        <w:rPr>
          <w:rFonts w:ascii="Times New Roman" w:hAnsi="Times New Roman" w:eastAsia="黑体" w:cs="Times New Roman"/>
          <w:bCs/>
          <w:kern w:val="2"/>
          <w:sz w:val="24"/>
          <w:szCs w:val="24"/>
        </w:rPr>
      </w:pPr>
    </w:p>
    <w:sectPr>
      <w:head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F1"/>
    <w:rsid w:val="00013DFC"/>
    <w:rsid w:val="000151FA"/>
    <w:rsid w:val="00033791"/>
    <w:rsid w:val="000C0C97"/>
    <w:rsid w:val="00136A16"/>
    <w:rsid w:val="002E7C08"/>
    <w:rsid w:val="003E60B8"/>
    <w:rsid w:val="004B0DDD"/>
    <w:rsid w:val="005322C5"/>
    <w:rsid w:val="005A287B"/>
    <w:rsid w:val="005B1405"/>
    <w:rsid w:val="006A50E7"/>
    <w:rsid w:val="006C0739"/>
    <w:rsid w:val="00765B8A"/>
    <w:rsid w:val="00775565"/>
    <w:rsid w:val="007B650F"/>
    <w:rsid w:val="00815642"/>
    <w:rsid w:val="008162C6"/>
    <w:rsid w:val="009C2D12"/>
    <w:rsid w:val="00A773C1"/>
    <w:rsid w:val="00A861C7"/>
    <w:rsid w:val="00B47723"/>
    <w:rsid w:val="00B52C0A"/>
    <w:rsid w:val="00B84FC1"/>
    <w:rsid w:val="00CD78EC"/>
    <w:rsid w:val="00D67EEA"/>
    <w:rsid w:val="00D97EDC"/>
    <w:rsid w:val="00DD656E"/>
    <w:rsid w:val="00E83C4C"/>
    <w:rsid w:val="00F03592"/>
    <w:rsid w:val="00F723C0"/>
    <w:rsid w:val="00FD2DF1"/>
    <w:rsid w:val="04C247FA"/>
    <w:rsid w:val="06646FD6"/>
    <w:rsid w:val="0975119A"/>
    <w:rsid w:val="18A84640"/>
    <w:rsid w:val="1B5858B5"/>
    <w:rsid w:val="2E9E123B"/>
    <w:rsid w:val="38BD4688"/>
    <w:rsid w:val="4F6D3DC4"/>
    <w:rsid w:val="6B97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10"/>
      <w:sz w:val="21"/>
      <w:szCs w:val="21"/>
      <w:lang w:val="en-US" w:eastAsia="zh-CN" w:bidi="ar-SA"/>
    </w:rPr>
  </w:style>
  <w:style w:type="paragraph" w:styleId="2">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6"/>
    <w:unhideWhenUsed/>
    <w:qFormat/>
    <w:uiPriority w:val="0"/>
    <w:pPr>
      <w:spacing w:after="120"/>
    </w:pPr>
  </w:style>
  <w:style w:type="paragraph" w:styleId="4">
    <w:name w:val="Balloon Text"/>
    <w:basedOn w:val="1"/>
    <w:link w:val="20"/>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qFormat/>
    <w:uiPriority w:val="20"/>
    <w:rPr>
      <w:i/>
      <w:iCs/>
    </w:rPr>
  </w:style>
  <w:style w:type="character" w:styleId="12">
    <w:name w:val="annotation reference"/>
    <w:unhideWhenUsed/>
    <w:qFormat/>
    <w:uiPriority w:val="99"/>
    <w:rPr>
      <w:sz w:val="21"/>
      <w:szCs w:val="21"/>
    </w:rPr>
  </w:style>
  <w:style w:type="character" w:customStyle="1" w:styleId="13">
    <w:name w:val="页眉 Char"/>
    <w:basedOn w:val="10"/>
    <w:link w:val="6"/>
    <w:qFormat/>
    <w:uiPriority w:val="0"/>
    <w:rPr>
      <w:sz w:val="18"/>
      <w:szCs w:val="18"/>
    </w:rPr>
  </w:style>
  <w:style w:type="character" w:customStyle="1" w:styleId="14">
    <w:name w:val="页脚 Char"/>
    <w:basedOn w:val="10"/>
    <w:link w:val="5"/>
    <w:qFormat/>
    <w:uiPriority w:val="99"/>
    <w:rPr>
      <w:sz w:val="18"/>
      <w:szCs w:val="18"/>
    </w:rPr>
  </w:style>
  <w:style w:type="character" w:customStyle="1" w:styleId="15">
    <w:name w:val="标题 4 Char"/>
    <w:basedOn w:val="10"/>
    <w:link w:val="2"/>
    <w:qFormat/>
    <w:uiPriority w:val="9"/>
    <w:rPr>
      <w:rFonts w:asciiTheme="majorHAnsi" w:hAnsiTheme="majorHAnsi" w:eastAsiaTheme="majorEastAsia" w:cstheme="majorBidi"/>
      <w:b/>
      <w:bCs/>
      <w:kern w:val="10"/>
      <w:sz w:val="28"/>
      <w:szCs w:val="28"/>
    </w:rPr>
  </w:style>
  <w:style w:type="character" w:customStyle="1" w:styleId="16">
    <w:name w:val="正文文本 Char"/>
    <w:basedOn w:val="10"/>
    <w:link w:val="3"/>
    <w:qFormat/>
    <w:uiPriority w:val="0"/>
    <w:rPr>
      <w:rFonts w:ascii="Calibri" w:hAnsi="Calibri" w:eastAsia="宋体" w:cs="Calibri"/>
      <w:kern w:val="10"/>
      <w:szCs w:val="21"/>
    </w:rPr>
  </w:style>
  <w:style w:type="paragraph" w:customStyle="1" w:styleId="17">
    <w:name w:val="我的正文"/>
    <w:basedOn w:val="1"/>
    <w:qFormat/>
    <w:uiPriority w:val="0"/>
    <w:pPr>
      <w:spacing w:line="360" w:lineRule="auto"/>
      <w:ind w:firstLine="560" w:firstLineChars="200"/>
    </w:pPr>
    <w:rPr>
      <w:rFonts w:ascii="Times New Roman" w:hAnsi="Times New Roman" w:eastAsia="仿宋_GB2312" w:cs="Times New Roman"/>
      <w:kern w:val="2"/>
      <w:sz w:val="32"/>
      <w:szCs w:val="32"/>
      <w:lang w:val="zh-CN"/>
    </w:rPr>
  </w:style>
  <w:style w:type="paragraph" w:styleId="18">
    <w:name w:val="List Paragraph"/>
    <w:basedOn w:val="1"/>
    <w:qFormat/>
    <w:uiPriority w:val="0"/>
    <w:pPr>
      <w:ind w:firstLine="420" w:firstLineChars="200"/>
    </w:pPr>
    <w:rPr>
      <w:rFonts w:ascii="等线" w:hAnsi="等线" w:eastAsia="等线" w:cs="Times New Roman"/>
      <w:kern w:val="2"/>
      <w:szCs w:val="24"/>
    </w:rPr>
  </w:style>
  <w:style w:type="paragraph" w:customStyle="1" w:styleId="19">
    <w:name w:val="列出段落1"/>
    <w:basedOn w:val="1"/>
    <w:qFormat/>
    <w:uiPriority w:val="0"/>
    <w:pPr>
      <w:ind w:firstLine="420" w:firstLineChars="200"/>
    </w:pPr>
    <w:rPr>
      <w:rFonts w:cs="Times New Roman"/>
      <w:kern w:val="2"/>
    </w:rPr>
  </w:style>
  <w:style w:type="character" w:customStyle="1" w:styleId="20">
    <w:name w:val="批注框文本 Char"/>
    <w:basedOn w:val="10"/>
    <w:link w:val="4"/>
    <w:qFormat/>
    <w:uiPriority w:val="0"/>
    <w:rPr>
      <w:rFonts w:ascii="Calibri" w:hAnsi="Calibri" w:eastAsia="宋体" w:cs="Calibri"/>
      <w:kern w:val="1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378</Words>
  <Characters>2158</Characters>
  <Lines>17</Lines>
  <Paragraphs>5</Paragraphs>
  <TotalTime>1</TotalTime>
  <ScaleCrop>false</ScaleCrop>
  <LinksUpToDate>false</LinksUpToDate>
  <CharactersWithSpaces>2531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2023-10-25T06:54:00Z</dcterms:created>
  <dc:creator>Windows User</dc:creator>
  <cp:lastModifiedBy>lenovo</cp:lastModifiedBy>
  <cp:lastPrinted>2023-01-26T10:26:00Z</cp:lastPrinted>
  <dcterms:modified xsi:type="dcterms:W3CDTF">2023-11-13T07:18:06Z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689F57BF2F0845E39FA409495FDF3093</vt:lpwstr>
  </property>
</Properties>
</file>