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02"/>
        <w:gridCol w:w="978"/>
        <w:gridCol w:w="157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cs="宋体"/>
                <w:color w:val="auto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color w:val="auto"/>
              </w:rPr>
              <w:t>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人员信息化心理调适训练仪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1台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是否进口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单项</w:t>
            </w:r>
            <w:r>
              <w:rPr>
                <w:rFonts w:hint="eastAsia" w:ascii="宋体" w:hAnsi="宋体" w:cs="宋体"/>
                <w:color w:val="auto"/>
              </w:rPr>
              <w:t>最高限价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4.50万元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7" w:type="dxa"/>
            <w:gridSpan w:val="7"/>
            <w:vAlign w:val="center"/>
          </w:tcPr>
          <w:p>
            <w:pPr>
              <w:pStyle w:val="2"/>
              <w:ind w:firstLine="480" w:firstLineChars="20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用于开展</w:t>
            </w:r>
            <w:bookmarkStart w:id="2" w:name="_GoBack"/>
            <w:bookmarkEnd w:id="2"/>
            <w:r>
              <w:rPr>
                <w:rFonts w:hint="eastAsia" w:ascii="宋体" w:hAnsi="宋体" w:cs="宋体"/>
                <w:bCs/>
                <w:color w:val="auto"/>
                <w:sz w:val="24"/>
              </w:rPr>
              <w:t>人员专项心理测评、专项心理调试训练以及快速改善身心疲劳状态。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生理信号处理终端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心理调适训练软件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心理测评档案管理软件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笔记本电脑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指标名称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生理信号处理终端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★1.1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采用耳夹式信号传感器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#1.2 支持有线（USB）和无线（WiFi）两种模式向软件传输实时生理信号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#1.3 采样精度不低于24bit，采样率不低于500Hz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1.4 信号处理器支持设备查找响应，具备开机、信号连接、低电量等状态提示功能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笔记本电脑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处理器：Intel i7或以上；内存容量：8G或以上；固态硬盘，容量：512GB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信息化心理调适训练软件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#3.1实时记录加工脉搏数据，并转化成心率变异性常用指标，包括但不限于：M-HRT、SD-HRT、SDNN、rMSSD、SD、SDSD、PNN50、 TP、VLF、LF、HF、LF/HF、LFnorm、HFnorm、0.1Hz指数等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#3.2自动计算0.1Hz指数值，同步输出至显示单元和记录单元，并作为数据项在导出数据中显示（提供0.1Hz指数计算佐证材料或含有0.1Hz指标的同类项目经历）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3.3具备在信号采集时同步标记事件机制，包括本地标记事件以及E-Prime实验软件自动标记事件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3.4支持自主截取指定时段以及标记事件的数据，并对该截取数据自动形成一条新的数据记录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#3.5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能够基于0.1Hz指数对自主神经稳定性状态进行分级评价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，支持自定义各分级评价的阈值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3.6支持用户自主式分析0-0.5Hz中各频点分布特征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#3.7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人机互动练习项目不少于7项，放松视频不少于5款，支持用户在不中断练习的前提下查看实时监测数据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3.8可实时采用曲线或柱状图形式进行训练效果展示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3.9 数据记录可导出为Excel文件，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导出数据至少包含监测类型、伪信号比例及2.1.1中所列出的指标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支持设置设备WIFI连接、重置设备以及搜索当前绑定设备功能，显示有连接状态、电量等设备信息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3.11需提供第三方软件测试报告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心理测评档案管理软件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4.1系统提供不少于180套测评量表，并自动出具测评结果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4.2支持用户将不同量表绑定给不同单位、部门及角色进行测试，支持用户量表修改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4.3需提供第三方软件测试报告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商务要求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业绩需提供（提供含有0.1Hz指标的同类项目经历）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设备保修以到货安装验收合格后之日起计算，保修期≥3年，使用期内免费提供软件升级服务。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质保期外配件及维修价格，卖方须提供常用备件、易损件、选配件清单及报价，报价不高于市场报价的75%。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培训支持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供方为需方的操作人员免费提供现场操作培训和维修维护技术培训。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维修响应时间≤4小时，接报修后24小时内工程师到场；48小时内解除故障（不可抗力除外），特殊情况下提供备用机。提供免费保修电话，卖方在保修期内至少每半年免费进行一次状态检测。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到货时间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合同签订后120天内。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jIyNmU1YmIzNjdmNDM0ZTM1OTRjNjgzYWI1NTIifQ=="/>
  </w:docVars>
  <w:rsids>
    <w:rsidRoot w:val="00000000"/>
    <w:rsid w:val="003261B0"/>
    <w:rsid w:val="06D61F29"/>
    <w:rsid w:val="1B237D4F"/>
    <w:rsid w:val="37C55B71"/>
    <w:rsid w:val="40B2703C"/>
    <w:rsid w:val="485F5B4A"/>
    <w:rsid w:val="4AC035BE"/>
    <w:rsid w:val="740E7B5F"/>
    <w:rsid w:val="78C47810"/>
    <w:rsid w:val="7C3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lang w:val="zh-CN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表格文字"/>
    <w:autoRedefine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列出段落1"/>
    <w:basedOn w:val="1"/>
    <w:autoRedefine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Amber</cp:lastModifiedBy>
  <dcterms:modified xsi:type="dcterms:W3CDTF">2024-04-17T07:04:53Z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0D5F4857CC3E4418A873B04DC3C050A8_12</vt:lpwstr>
  </property>
</Properties>
</file>