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29"/>
        <w:gridCol w:w="1625"/>
        <w:gridCol w:w="1547"/>
        <w:gridCol w:w="1630"/>
        <w:gridCol w:w="358"/>
        <w:gridCol w:w="291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cs="宋体"/>
                <w:color w:val="auto"/>
              </w:rPr>
              <w:t>项目编号</w:t>
            </w:r>
          </w:p>
        </w:tc>
        <w:tc>
          <w:tcPr>
            <w:tcW w:w="6463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2024-JK15-W1007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项目名称</w:t>
            </w:r>
          </w:p>
        </w:tc>
        <w:tc>
          <w:tcPr>
            <w:tcW w:w="6463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疲劳快速检测仪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台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是否进口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最高投标限价</w:t>
            </w:r>
          </w:p>
        </w:tc>
        <w:tc>
          <w:tcPr>
            <w:tcW w:w="6463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80</w:t>
            </w:r>
            <w:r>
              <w:rPr>
                <w:rFonts w:ascii="宋体" w:hAnsi="宋体" w:cs="宋体"/>
                <w:color w:val="auto"/>
              </w:rPr>
              <w:t>.00万元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疲劳快速检测仪采用数字化光路刺激和瞳孔成像技术，可对双眼进行光刺激，同时对人眼瞳孔的变化进行高速高精度同步跟踪，具备临界闪光融合频率、瞳孔直径、瞳孔对光反应时间、眼扫视速度等检测能力，可客观评估人体疲劳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主机（内含相机1台）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军用级控制计算机（内含采集控制卡）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检测软件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使用维护手册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配套展开附件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外包装箱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临界闪光融合频率检测范围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1Hz-60Hz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临界闪光融合频率检测时长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单次测定时间≤20s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亮点颜色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红、绿、蓝、黄、白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亮点亮黑比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1:1、1:3、3:1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亮点光强度分档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1、1/2、1/4、1/8、1/16、1/32、1/64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背景光强度分档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1、1/4、1/16、全黑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瞳孔跟踪帧率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≥1250Hz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瞳孔直径测量分辨率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≤0.1mm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眼扫视范围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扫视角度范围±10°，扫视速度测量范围200°/s-1000°/s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眼扫视检测时长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单次测定时间≤2s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瞳孔对光反应检测时长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单次测定时间≤5s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光刺激器颜色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白、红、绿、蓝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光刺激强度分档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1、1/4、1/16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光刺激时长分档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200ms、400ms、2000ms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计算机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CPU性能不低于酷睿i7，内存不小于8GB，硬盘不小于512G，配置采集控制卡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主机外形尺寸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≤450mm×400mm×400mm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主机重量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≤12kg（不含控制计算机）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tabs>
                <w:tab w:val="center" w:pos="275"/>
              </w:tabs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检测软件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检测软件支持用户登录及分级管理，具备人机交互、测试信息数据自动采集记录分析功能，保证测试数据安全，支持数据批量导出、删除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val="en-US" w:eastAsia="zh-CN" w:bidi="ar-SA"/>
              </w:rPr>
              <w:t>19</w:t>
            </w:r>
          </w:p>
        </w:tc>
        <w:tc>
          <w:tcPr>
            <w:tcW w:w="880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  <w:t>产品质量要求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19.1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环境适应性：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工作温度：0℃-46℃，储存极限温度：-50℃，65℃，工作湿度：不大于95%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19.2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#勤务适用性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19.2.1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振动试验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按照国军标GJB 150A-2009相关要求完成振动试验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19.2.2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冲击试验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按照国军标GJB 150A-2009相关要求完成冲击试验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19.2.3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跌落试验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按照国军标GJB 150A-2009相关要求完成跌落试验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19.2.4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运输试验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按照国军标GJB1181-1991完成运输试验。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19.3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#电磁兼容性：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符合国军标GJB151B中CE102、CS101、CS114、CS116、RE102和RS103的检测要求。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3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质保期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收费标准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2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培训支持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31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维修响应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到货时间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合同签订后120天内。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mJiMDBkYTFmN2QxNjE2MjZkNzYwNmY2M2FlNzgifQ=="/>
  </w:docVars>
  <w:rsids>
    <w:rsidRoot w:val="00000000"/>
    <w:rsid w:val="04AC5AAF"/>
    <w:rsid w:val="0E9E62DE"/>
    <w:rsid w:val="1B237D4F"/>
    <w:rsid w:val="37C55B71"/>
    <w:rsid w:val="4AC035BE"/>
    <w:rsid w:val="78C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autoRedefine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列出段落1"/>
    <w:basedOn w:val="1"/>
    <w:autoRedefine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2024-03-27T08:00:48Z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