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B9" w:rsidRDefault="00F365B9" w:rsidP="00F365B9">
      <w:pPr>
        <w:pStyle w:val="1"/>
        <w:widowControl w:val="0"/>
        <w:autoSpaceDE w:val="0"/>
        <w:autoSpaceDN w:val="0"/>
        <w:adjustRightInd w:val="0"/>
        <w:spacing w:before="100" w:beforeAutospacing="1" w:line="360" w:lineRule="auto"/>
        <w:ind w:left="567" w:firstLine="0"/>
        <w:jc w:val="both"/>
        <w:rPr>
          <w:rFonts w:ascii="Times New Roman" w:eastAsia="黑体" w:hAnsi="Times New Roman"/>
          <w:sz w:val="28"/>
          <w:szCs w:val="28"/>
          <w:lang w:eastAsia="zh-CN"/>
        </w:rPr>
      </w:pPr>
      <w:r>
        <w:rPr>
          <w:rFonts w:hint="eastAsia"/>
          <w:b/>
          <w:sz w:val="36"/>
          <w:szCs w:val="36"/>
          <w:lang w:eastAsia="zh-CN"/>
        </w:rPr>
        <w:t>附件</w:t>
      </w:r>
      <w:r>
        <w:rPr>
          <w:rFonts w:hint="eastAsia"/>
          <w:b/>
          <w:sz w:val="36"/>
          <w:szCs w:val="36"/>
          <w:lang w:eastAsia="zh-CN"/>
        </w:rPr>
        <w:t>1</w:t>
      </w:r>
      <w:r>
        <w:rPr>
          <w:rFonts w:hint="eastAsia"/>
          <w:b/>
          <w:sz w:val="36"/>
          <w:szCs w:val="36"/>
          <w:lang w:eastAsia="zh-CN"/>
        </w:rPr>
        <w:t>：</w:t>
      </w:r>
    </w:p>
    <w:tbl>
      <w:tblPr>
        <w:tblW w:w="12511" w:type="dxa"/>
        <w:tblInd w:w="108" w:type="dxa"/>
        <w:tblLayout w:type="fixed"/>
        <w:tblLook w:val="04A0"/>
      </w:tblPr>
      <w:tblGrid>
        <w:gridCol w:w="993"/>
        <w:gridCol w:w="4254"/>
        <w:gridCol w:w="2124"/>
        <w:gridCol w:w="709"/>
        <w:gridCol w:w="4431"/>
      </w:tblGrid>
      <w:tr w:rsidR="00F365B9" w:rsidTr="00005167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65B9" w:rsidRDefault="00F365B9" w:rsidP="00005167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</w:rPr>
              <w:t>名称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65B9" w:rsidRDefault="00F365B9" w:rsidP="00005167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</w:rPr>
              <w:t>图片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65B9" w:rsidRDefault="00F365B9" w:rsidP="00005167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</w:rPr>
              <w:t>规格尺寸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65B9" w:rsidRDefault="00F365B9" w:rsidP="00005167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/>
                <w:b/>
              </w:rPr>
              <w:t>数量</w:t>
            </w:r>
          </w:p>
        </w:tc>
        <w:tc>
          <w:tcPr>
            <w:tcW w:w="4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365B9" w:rsidRDefault="00F365B9" w:rsidP="00005167">
            <w:pPr>
              <w:jc w:val="center"/>
              <w:rPr>
                <w:rFonts w:ascii="宋体" w:hAnsi="宋体" w:cs="宋体"/>
                <w:b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b/>
              </w:rPr>
              <w:t>技术说明</w:t>
            </w:r>
          </w:p>
        </w:tc>
      </w:tr>
      <w:tr w:rsidR="00F365B9" w:rsidTr="00005167">
        <w:trPr>
          <w:trHeight w:val="38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5B9" w:rsidRDefault="00F365B9" w:rsidP="0000516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等候椅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365B9" w:rsidRDefault="00F365B9" w:rsidP="00005167">
            <w:pPr>
              <w:pStyle w:val="a3"/>
              <w:widowControl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114300" distR="114300">
                  <wp:extent cx="2569210" cy="1793875"/>
                  <wp:effectExtent l="0" t="0" r="2540" b="15875"/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210" cy="179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5B9" w:rsidRDefault="00F365B9" w:rsidP="0000516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noProof/>
              </w:rPr>
              <w:lastRenderedPageBreak/>
              <w:drawing>
                <wp:inline distT="0" distB="0" distL="114300" distR="114300">
                  <wp:extent cx="2524760" cy="1663065"/>
                  <wp:effectExtent l="0" t="0" r="8890" b="13335"/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760" cy="166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114300" distR="114300">
                  <wp:extent cx="1061720" cy="1468120"/>
                  <wp:effectExtent l="0" t="0" r="5080" b="17780"/>
                  <wp:docPr id="1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 l="4430" r="132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720" cy="146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114300" distR="114300">
                  <wp:extent cx="1428115" cy="1428115"/>
                  <wp:effectExtent l="0" t="0" r="635" b="63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115" cy="142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座椅颜色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5B9" w:rsidRDefault="00F365B9" w:rsidP="0000516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lastRenderedPageBreak/>
              <w:t>三人位</w:t>
            </w:r>
          </w:p>
          <w:p w:rsidR="00F365B9" w:rsidRDefault="00F365B9" w:rsidP="0000516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1800W*650D*855H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5B9" w:rsidRDefault="00F365B9" w:rsidP="0000516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98</w:t>
            </w:r>
          </w:p>
        </w:tc>
        <w:tc>
          <w:tcPr>
            <w:tcW w:w="44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65B9" w:rsidRDefault="00F365B9" w:rsidP="00005167">
            <w:pPr>
              <w:pStyle w:val="a3"/>
              <w:widowControl/>
              <w:spacing w:before="0" w:beforeAutospacing="0" w:after="0" w:afterAutospacing="0"/>
              <w:rPr>
                <w:rFonts w:ascii="宋体" w:eastAsia="宋体" w:hAnsi="宋体" w:cs="宋体"/>
              </w:rPr>
            </w:pPr>
            <w:r>
              <w:rPr>
                <w:rFonts w:ascii="宋体" w:hAnsi="宋体"/>
                <w:lang w:val="zh-CN"/>
              </w:rPr>
              <w:t>★</w:t>
            </w:r>
            <w:r>
              <w:rPr>
                <w:rFonts w:ascii="宋体" w:eastAsia="宋体" w:hAnsi="宋体" w:cs="宋体" w:hint="eastAsia"/>
              </w:rPr>
              <w:t>1、</w:t>
            </w:r>
            <w:proofErr w:type="gramStart"/>
            <w:r>
              <w:rPr>
                <w:rFonts w:ascii="宋体" w:eastAsia="宋体" w:hAnsi="宋体" w:cs="宋体" w:hint="eastAsia"/>
              </w:rPr>
              <w:t>椅背及座板</w:t>
            </w:r>
            <w:proofErr w:type="gramEnd"/>
            <w:r>
              <w:rPr>
                <w:rFonts w:ascii="宋体" w:eastAsia="宋体" w:hAnsi="宋体" w:cs="宋体" w:hint="eastAsia"/>
              </w:rPr>
              <w:t>：内部钢制支撑由1.5mm厚优质鞍钢冷轧钢板冷冲成型，外包裹优质耐磨软垫PU发泡聚氨酯；PU （聚氨酯）釆用环保A、B聚酰发泡成型，引进欧美先进RIM技术，</w:t>
            </w:r>
          </w:p>
          <w:p w:rsidR="00F365B9" w:rsidRDefault="00F365B9" w:rsidP="00005167">
            <w:pPr>
              <w:pStyle w:val="a3"/>
              <w:widowControl/>
              <w:spacing w:before="0" w:beforeAutospacing="0" w:after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-744855</wp:posOffset>
                  </wp:positionH>
                  <wp:positionV relativeFrom="paragraph">
                    <wp:posOffset>5153025</wp:posOffset>
                  </wp:positionV>
                  <wp:extent cx="5600700" cy="4200525"/>
                  <wp:effectExtent l="0" t="0" r="0" b="9525"/>
                  <wp:wrapNone/>
                  <wp:docPr id="2" name="图片 3" descr="63f89c637547b2e3b458b76d5a7726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63f89c637547b2e3b458b76d5a7726b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0700" cy="420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</w:rPr>
              <w:t>2、椅面：高端聚氨酯内包钢</w:t>
            </w:r>
            <w:proofErr w:type="gramStart"/>
            <w:r>
              <w:rPr>
                <w:rFonts w:ascii="宋体" w:eastAsia="宋体" w:hAnsi="宋体" w:cs="宋体" w:hint="eastAsia"/>
              </w:rPr>
              <w:t>蕊</w:t>
            </w:r>
            <w:proofErr w:type="gramEnd"/>
            <w:r>
              <w:rPr>
                <w:rFonts w:ascii="宋体" w:eastAsia="宋体" w:hAnsi="宋体" w:cs="宋体" w:hint="eastAsia"/>
              </w:rPr>
              <w:t>一次发泡成型，使用寿命相较传统西皮软垫高5倍以上，泡沬芯层结构，既有皮面的质感，又有海面的舒适感耐寒性好，特别适用于寒冷的冬季，表皮组织严密，易清洁保养，不易滋生细菌，特别适合医疗机构，先进CA117阻燃配方，符合公共场所消防安全</w:t>
            </w:r>
            <w:r>
              <w:rPr>
                <w:rFonts w:ascii="宋体" w:eastAsia="宋体" w:hAnsi="宋体" w:cs="宋体" w:hint="eastAsia"/>
              </w:rPr>
              <w:lastRenderedPageBreak/>
              <w:t>要求，CAI 17/BS5852/C14/TDCPP（防火）；BIFMAX5.1/5.4-2012（成品座椅），环保产品通过欧美SGS严格检测的环保标准</w:t>
            </w:r>
            <w:r>
              <w:rPr>
                <w:rFonts w:ascii="宋体" w:hAnsi="宋体" w:cs="宋体" w:hint="eastAsia"/>
              </w:rPr>
              <w:t>“</w:t>
            </w:r>
            <w:r>
              <w:rPr>
                <w:rFonts w:ascii="宋体" w:eastAsia="宋体" w:hAnsi="宋体" w:cs="宋体" w:hint="eastAsia"/>
              </w:rPr>
              <w:t>US EPA5021”（无氯氟煙）；</w:t>
            </w:r>
          </w:p>
          <w:p w:rsidR="00F365B9" w:rsidRDefault="00F365B9" w:rsidP="00005167">
            <w:pPr>
              <w:pStyle w:val="a3"/>
              <w:widowControl/>
              <w:spacing w:before="0" w:beforeAutospacing="0" w:after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3、横梁：釆用鞍钢优质加厚型八角形l.8mm冷轧钢冷拉成型、冷冲定型钢管,承重力5倍于一般产品；</w:t>
            </w:r>
          </w:p>
          <w:p w:rsidR="00F365B9" w:rsidRDefault="00F365B9" w:rsidP="00005167">
            <w:pPr>
              <w:pStyle w:val="a3"/>
              <w:widowControl/>
              <w:spacing w:before="0" w:beforeAutospacing="0" w:after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4、扶手站脚：釆用优质铝合金</w:t>
            </w:r>
            <w:proofErr w:type="gramStart"/>
            <w:r>
              <w:rPr>
                <w:rFonts w:ascii="宋体" w:eastAsia="宋体" w:hAnsi="宋体" w:cs="宋体" w:hint="eastAsia"/>
              </w:rPr>
              <w:t>经大型</w:t>
            </w:r>
            <w:proofErr w:type="gramEnd"/>
            <w:r>
              <w:rPr>
                <w:rFonts w:ascii="宋体" w:eastAsia="宋体" w:hAnsi="宋体" w:cs="宋体" w:hint="eastAsia"/>
              </w:rPr>
              <w:t>模具冲压锻造制成形或钢结构模压焊制成型后表面烤漆；</w:t>
            </w:r>
          </w:p>
          <w:p w:rsidR="00F365B9" w:rsidRDefault="00F365B9" w:rsidP="00005167">
            <w:pPr>
              <w:pStyle w:val="a3"/>
              <w:widowControl/>
              <w:spacing w:before="0" w:beforeAutospacing="0" w:after="0" w:afterAutospacing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5、表面处理：钢板表面去除油污，锈蚀磷化清洗后进行电泳涂装，达100%密封涂层后表面进行高温烤漆处理；电泳与烤漆双层保护，防锈能力5倍于一般产品；</w:t>
            </w:r>
          </w:p>
          <w:p w:rsidR="00F365B9" w:rsidRDefault="00F365B9" w:rsidP="00005167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6、座椅颜色，中标人与招标人签订合同时再协商决定。</w:t>
            </w:r>
          </w:p>
          <w:p w:rsidR="00F365B9" w:rsidRDefault="00F365B9" w:rsidP="00005167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F365B9" w:rsidTr="00005167">
        <w:trPr>
          <w:trHeight w:val="50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5B9" w:rsidRDefault="00F365B9" w:rsidP="0000516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lastRenderedPageBreak/>
              <w:t>等候椅</w:t>
            </w:r>
          </w:p>
        </w:tc>
        <w:tc>
          <w:tcPr>
            <w:tcW w:w="4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5B9" w:rsidRDefault="00F365B9" w:rsidP="0000516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5B9" w:rsidRDefault="00F365B9" w:rsidP="00005167">
            <w:pPr>
              <w:jc w:val="center"/>
            </w:pPr>
            <w:r>
              <w:rPr>
                <w:rFonts w:hint="eastAsia"/>
              </w:rPr>
              <w:t>六人位</w:t>
            </w:r>
          </w:p>
          <w:p w:rsidR="00F365B9" w:rsidRDefault="00F365B9" w:rsidP="0000516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3550W*650D*855H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5B9" w:rsidRDefault="00F365B9" w:rsidP="0000516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44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5B9" w:rsidRDefault="00F365B9" w:rsidP="00005167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F365B9" w:rsidRDefault="00F365B9" w:rsidP="00F365B9">
      <w:pPr>
        <w:jc w:val="left"/>
        <w:rPr>
          <w:b/>
          <w:sz w:val="36"/>
          <w:szCs w:val="36"/>
        </w:rPr>
      </w:pPr>
    </w:p>
    <w:p w:rsidR="00840FD7" w:rsidRDefault="00840FD7"/>
    <w:sectPr w:rsidR="00840FD7" w:rsidSect="004E15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65B9"/>
    <w:rsid w:val="00840FD7"/>
    <w:rsid w:val="00F3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B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F365B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1">
    <w:name w:val="列出段落1"/>
    <w:basedOn w:val="a"/>
    <w:qFormat/>
    <w:rsid w:val="00F365B9"/>
    <w:pPr>
      <w:widowControl/>
      <w:ind w:left="720" w:firstLine="360"/>
      <w:jc w:val="left"/>
    </w:pPr>
    <w:rPr>
      <w:rFonts w:ascii="Calibri" w:eastAsia="宋体" w:hAnsi="Calibri" w:cs="Times New Roman"/>
      <w:sz w:val="22"/>
      <w:szCs w:val="20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F365B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365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519</Characters>
  <Application>Microsoft Office Word</Application>
  <DocSecurity>0</DocSecurity>
  <Lines>4</Lines>
  <Paragraphs>1</Paragraphs>
  <ScaleCrop>false</ScaleCrop>
  <Company>kq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wangtingting</dc:creator>
  <cp:lastModifiedBy>wangtingting</cp:lastModifiedBy>
  <cp:revision>1</cp:revision>
  <dcterms:created xsi:type="dcterms:W3CDTF">2020-03-24T09:02:00Z</dcterms:created>
  <dcterms:modified xsi:type="dcterms:W3CDTF">2020-03-24T09:02:00Z</dcterms:modified>
</cp:coreProperties>
</file>