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33" w:rsidRPr="002577A0" w:rsidRDefault="001B4D25" w:rsidP="006C70E6">
      <w:pPr>
        <w:pStyle w:val="1"/>
        <w:overflowPunct w:val="0"/>
        <w:snapToGrid/>
        <w:rPr>
          <w:rFonts w:ascii="方正小标宋简体" w:eastAsia="方正小标宋简体" w:hAnsi="宋体"/>
          <w:sz w:val="44"/>
          <w:szCs w:val="44"/>
        </w:rPr>
      </w:pPr>
      <w:bookmarkStart w:id="0" w:name="_Toc436381729"/>
      <w:bookmarkStart w:id="1" w:name="_Toc436990495"/>
      <w:bookmarkStart w:id="2" w:name="_Toc437264467"/>
      <w:bookmarkStart w:id="3" w:name="_Toc437264542"/>
      <w:bookmarkStart w:id="4" w:name="_Toc528659771"/>
      <w:r w:rsidRPr="002577A0">
        <w:rPr>
          <w:rFonts w:ascii="方正小标宋简体" w:eastAsia="方正小标宋简体" w:hAnsi="宋体" w:hint="eastAsia"/>
          <w:sz w:val="44"/>
          <w:szCs w:val="44"/>
        </w:rPr>
        <w:t>空军军医大学博士硕士学位论文</w:t>
      </w:r>
    </w:p>
    <w:p w:rsidR="001B4D25" w:rsidRPr="002577A0" w:rsidRDefault="001B4D25" w:rsidP="001B4D25">
      <w:pPr>
        <w:pStyle w:val="1"/>
        <w:overflowPunct w:val="0"/>
        <w:snapToGrid/>
        <w:rPr>
          <w:rFonts w:ascii="方正小标宋简体" w:eastAsia="方正小标宋简体" w:hAnsi="宋体"/>
          <w:sz w:val="44"/>
          <w:szCs w:val="44"/>
        </w:rPr>
      </w:pPr>
      <w:r w:rsidRPr="002577A0">
        <w:rPr>
          <w:rFonts w:ascii="方正小标宋简体" w:eastAsia="方正小标宋简体" w:hAnsi="宋体" w:hint="eastAsia"/>
          <w:sz w:val="44"/>
          <w:szCs w:val="44"/>
        </w:rPr>
        <w:t>质量控制管理办法</w:t>
      </w:r>
      <w:bookmarkEnd w:id="0"/>
      <w:bookmarkEnd w:id="1"/>
      <w:bookmarkEnd w:id="2"/>
      <w:bookmarkEnd w:id="3"/>
      <w:bookmarkEnd w:id="4"/>
      <w:r w:rsidR="00042B70" w:rsidRPr="002577A0">
        <w:rPr>
          <w:rFonts w:ascii="方正小标宋简体" w:eastAsia="方正小标宋简体" w:hAnsi="宋体" w:hint="eastAsia"/>
          <w:sz w:val="44"/>
          <w:szCs w:val="44"/>
        </w:rPr>
        <w:t>（</w:t>
      </w:r>
      <w:r w:rsidR="00DC45EC" w:rsidRPr="002577A0">
        <w:rPr>
          <w:rFonts w:ascii="方正小标宋简体" w:eastAsia="方正小标宋简体" w:hAnsi="宋体" w:hint="eastAsia"/>
          <w:sz w:val="44"/>
          <w:szCs w:val="44"/>
        </w:rPr>
        <w:t>第二轮</w:t>
      </w:r>
      <w:r w:rsidR="003414DF" w:rsidRPr="002577A0">
        <w:rPr>
          <w:rFonts w:ascii="方正小标宋简体" w:eastAsia="方正小标宋简体" w:hAnsi="宋体" w:hint="eastAsia"/>
          <w:sz w:val="44"/>
          <w:szCs w:val="44"/>
        </w:rPr>
        <w:t>征求意见稿</w:t>
      </w:r>
      <w:r w:rsidR="00042B70" w:rsidRPr="002577A0">
        <w:rPr>
          <w:rFonts w:ascii="方正小标宋简体" w:eastAsia="方正小标宋简体" w:hAnsi="宋体" w:hint="eastAsia"/>
          <w:sz w:val="44"/>
          <w:szCs w:val="44"/>
        </w:rPr>
        <w:t>）</w:t>
      </w:r>
    </w:p>
    <w:p w:rsidR="001B4D25" w:rsidRPr="002577A0" w:rsidRDefault="001B4D25" w:rsidP="00DC45EC">
      <w:pPr>
        <w:pStyle w:val="3"/>
        <w:overflowPunct w:val="0"/>
        <w:spacing w:beforeLines="50" w:before="156" w:afterLines="50" w:after="156" w:line="560" w:lineRule="exact"/>
        <w:ind w:firstLineChars="0" w:firstLine="0"/>
        <w:jc w:val="center"/>
        <w:outlineLvl w:val="9"/>
        <w:rPr>
          <w:rFonts w:ascii="黑体" w:hAnsi="黑体"/>
          <w:sz w:val="32"/>
          <w:szCs w:val="32"/>
        </w:rPr>
      </w:pPr>
      <w:r w:rsidRPr="002577A0">
        <w:rPr>
          <w:rFonts w:ascii="黑体" w:hAnsi="黑体" w:hint="eastAsia"/>
          <w:sz w:val="32"/>
          <w:szCs w:val="32"/>
        </w:rPr>
        <w:t>第一章 总  则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宋体" w:hAnsi="宋体" w:cs="仿宋_GB2312"/>
          <w:sz w:val="2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第一条</w:t>
      </w:r>
      <w:r w:rsidRPr="002577A0">
        <w:rPr>
          <w:rFonts w:ascii="宋体" w:hAnsi="宋体" w:hint="eastAsia"/>
          <w:bCs/>
          <w:sz w:val="22"/>
        </w:rPr>
        <w:t xml:space="preserve">  </w:t>
      </w:r>
      <w:r w:rsidR="00B969F6" w:rsidRPr="002577A0">
        <w:rPr>
          <w:rFonts w:ascii="仿宋_GB2312" w:eastAsia="仿宋_GB2312" w:hAnsi="宋体" w:cs="仿宋_GB2312" w:hint="eastAsia"/>
          <w:sz w:val="32"/>
          <w:szCs w:val="32"/>
        </w:rPr>
        <w:t>为完善我校博士、硕士学位论文质量保障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和监督机制，提高学位论文质量，根据中国人民解放军学位委员会《军队博士硕士学位论文评优抽查实施办法》，制</w:t>
      </w:r>
      <w:bookmarkStart w:id="5" w:name="OLE_LINK2"/>
      <w:r w:rsidRPr="002577A0">
        <w:rPr>
          <w:rFonts w:ascii="仿宋_GB2312" w:eastAsia="仿宋_GB2312" w:hAnsi="宋体" w:cs="仿宋_GB2312" w:hint="eastAsia"/>
          <w:sz w:val="32"/>
          <w:szCs w:val="32"/>
        </w:rPr>
        <w:t>定</w:t>
      </w:r>
      <w:bookmarkEnd w:id="5"/>
      <w:r w:rsidRPr="002577A0">
        <w:rPr>
          <w:rFonts w:ascii="仿宋_GB2312" w:eastAsia="仿宋_GB2312" w:hAnsi="宋体" w:cs="仿宋_GB2312" w:hint="eastAsia"/>
          <w:sz w:val="32"/>
          <w:szCs w:val="32"/>
        </w:rPr>
        <w:t>本办法。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第二条</w:t>
      </w:r>
      <w:r w:rsidRPr="002577A0">
        <w:rPr>
          <w:rFonts w:ascii="宋体" w:hAnsi="宋体" w:hint="eastAsia"/>
          <w:bCs/>
          <w:sz w:val="22"/>
        </w:rPr>
        <w:t xml:space="preserve">  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本办法适用于向我校申请博士、硕士学位所提交的学位论文。</w:t>
      </w:r>
    </w:p>
    <w:p w:rsidR="001B4D25" w:rsidRPr="002577A0" w:rsidRDefault="001B4D25" w:rsidP="00DC45EC">
      <w:pPr>
        <w:pStyle w:val="3"/>
        <w:overflowPunct w:val="0"/>
        <w:spacing w:beforeLines="50" w:before="156" w:afterLines="50" w:after="156" w:line="560" w:lineRule="exact"/>
        <w:ind w:firstLineChars="0" w:firstLine="0"/>
        <w:jc w:val="center"/>
        <w:outlineLvl w:val="9"/>
        <w:rPr>
          <w:rFonts w:ascii="黑体" w:hAnsi="黑体"/>
          <w:sz w:val="32"/>
          <w:szCs w:val="32"/>
        </w:rPr>
      </w:pPr>
      <w:r w:rsidRPr="002577A0">
        <w:rPr>
          <w:rFonts w:ascii="黑体" w:hAnsi="黑体" w:hint="eastAsia"/>
          <w:sz w:val="32"/>
          <w:szCs w:val="32"/>
        </w:rPr>
        <w:t xml:space="preserve">第二章 </w:t>
      </w:r>
      <w:r w:rsidR="00F45CB8" w:rsidRPr="002577A0">
        <w:rPr>
          <w:rFonts w:ascii="黑体" w:hAnsi="黑体" w:hint="eastAsia"/>
          <w:sz w:val="32"/>
          <w:szCs w:val="32"/>
        </w:rPr>
        <w:t>学位论文双盲评阅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三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宋体" w:hAnsi="宋体" w:hint="eastAsia"/>
          <w:bCs/>
          <w:sz w:val="22"/>
        </w:rPr>
        <w:t xml:space="preserve">  </w:t>
      </w:r>
      <w:r w:rsidR="00F45CB8" w:rsidRPr="002577A0">
        <w:rPr>
          <w:rFonts w:ascii="仿宋_GB2312" w:eastAsia="仿宋_GB2312" w:hAnsi="宋体" w:cs="仿宋_GB2312" w:hint="eastAsia"/>
          <w:sz w:val="32"/>
          <w:szCs w:val="32"/>
        </w:rPr>
        <w:t>学位论文双盲评阅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在学位评定委员会的指导下，由研究生院负责实施，各培养单位研究生管理部门协助开展。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宋体" w:hAnsi="宋体" w:cs="仿宋_GB2312"/>
          <w:sz w:val="2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四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宋体" w:hAnsi="宋体" w:hint="eastAsia"/>
          <w:bCs/>
          <w:sz w:val="22"/>
        </w:rPr>
        <w:t xml:space="preserve">  </w:t>
      </w:r>
      <w:r w:rsidR="00F53F58" w:rsidRPr="002577A0">
        <w:rPr>
          <w:rFonts w:ascii="仿宋_GB2312" w:eastAsia="仿宋_GB2312" w:hAnsi="宋体" w:cs="仿宋_GB2312" w:hint="eastAsia"/>
          <w:sz w:val="32"/>
          <w:szCs w:val="32"/>
        </w:rPr>
        <w:t>学位论文双盲评阅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通常在学位答辩前开展。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五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宋体" w:hAnsi="宋体" w:hint="eastAsia"/>
          <w:bCs/>
          <w:sz w:val="22"/>
        </w:rPr>
        <w:t xml:space="preserve">  </w:t>
      </w:r>
      <w:r w:rsidR="00A01EEA" w:rsidRPr="002577A0">
        <w:rPr>
          <w:rFonts w:ascii="仿宋_GB2312" w:eastAsia="仿宋_GB2312" w:hAnsi="宋体" w:cs="仿宋_GB2312" w:hint="eastAsia"/>
          <w:sz w:val="32"/>
          <w:szCs w:val="32"/>
        </w:rPr>
        <w:t>所有拟参加学位</w:t>
      </w:r>
      <w:r w:rsidR="00576452" w:rsidRPr="002577A0">
        <w:rPr>
          <w:rFonts w:ascii="仿宋_GB2312" w:eastAsia="仿宋_GB2312" w:hAnsi="宋体" w:cs="仿宋_GB2312" w:hint="eastAsia"/>
          <w:sz w:val="32"/>
          <w:szCs w:val="32"/>
        </w:rPr>
        <w:t>答辩的论文均纳入双盲评阅范围，无故不参加学位论文双盲评阅的，取消本次学位申请资格。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六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宋体" w:hAnsi="宋体" w:hint="eastAsia"/>
          <w:bCs/>
          <w:sz w:val="22"/>
        </w:rPr>
        <w:t xml:space="preserve">  </w:t>
      </w:r>
      <w:r w:rsidR="00A01EEA" w:rsidRPr="002577A0">
        <w:rPr>
          <w:rFonts w:ascii="仿宋_GB2312" w:eastAsia="仿宋_GB2312" w:hAnsi="宋体" w:cs="仿宋_GB2312" w:hint="eastAsia"/>
          <w:sz w:val="32"/>
          <w:szCs w:val="32"/>
        </w:rPr>
        <w:t>参加双盲评阅的学位论文需经导师审阅并签字同意。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七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博士研究生学位论文双盲评阅应聘请</w:t>
      </w:r>
      <w:r w:rsidR="00D02CF1" w:rsidRPr="002577A0">
        <w:rPr>
          <w:rFonts w:ascii="仿宋_GB2312" w:eastAsia="仿宋_GB2312" w:hAnsi="宋体" w:cs="仿宋_GB2312" w:hint="eastAsia"/>
          <w:sz w:val="32"/>
          <w:szCs w:val="32"/>
        </w:rPr>
        <w:t>5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名评</w:t>
      </w:r>
      <w:r w:rsidR="00A01EEA" w:rsidRPr="002577A0">
        <w:rPr>
          <w:rFonts w:ascii="仿宋_GB2312" w:eastAsia="仿宋_GB2312" w:hAnsi="宋体" w:cs="仿宋_GB2312" w:hint="eastAsia"/>
          <w:sz w:val="32"/>
          <w:szCs w:val="32"/>
        </w:rPr>
        <w:t>阅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专家</w:t>
      </w:r>
      <w:r w:rsidR="00B528CB" w:rsidRPr="002577A0"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硕士研究生学位论文双盲评阅应聘请</w:t>
      </w:r>
      <w:r w:rsidR="00D02CF1" w:rsidRPr="002577A0">
        <w:rPr>
          <w:rFonts w:ascii="仿宋_GB2312" w:eastAsia="仿宋_GB2312" w:hAnsi="宋体" w:cs="仿宋_GB2312" w:hint="eastAsia"/>
          <w:sz w:val="32"/>
          <w:szCs w:val="32"/>
        </w:rPr>
        <w:t>3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名评</w:t>
      </w:r>
      <w:r w:rsidR="00A01EEA" w:rsidRPr="002577A0">
        <w:rPr>
          <w:rFonts w:ascii="仿宋_GB2312" w:eastAsia="仿宋_GB2312" w:hAnsi="宋体" w:cs="仿宋_GB2312" w:hint="eastAsia"/>
          <w:sz w:val="32"/>
          <w:szCs w:val="32"/>
        </w:rPr>
        <w:t>阅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专家。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lastRenderedPageBreak/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八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学位论文双盲评阅通过教育部</w:t>
      </w:r>
      <w:r w:rsidR="00F53F58" w:rsidRPr="002577A0">
        <w:rPr>
          <w:rFonts w:ascii="仿宋_GB2312" w:eastAsia="仿宋_GB2312" w:hAnsi="宋体" w:cs="仿宋_GB2312" w:hint="eastAsia"/>
          <w:sz w:val="32"/>
          <w:szCs w:val="32"/>
        </w:rPr>
        <w:t>或军队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学位中心论文送审平台送审。</w:t>
      </w:r>
    </w:p>
    <w:p w:rsidR="00557665" w:rsidRPr="002577A0" w:rsidRDefault="00B1238B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3D311C" w:rsidRPr="002577A0">
        <w:rPr>
          <w:rFonts w:ascii="楷体_GB2312" w:eastAsia="楷体_GB2312" w:hAnsi="宋体" w:hint="eastAsia"/>
          <w:bCs/>
          <w:sz w:val="32"/>
          <w:szCs w:val="32"/>
        </w:rPr>
        <w:t>九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 xml:space="preserve">条 </w:t>
      </w:r>
      <w:r w:rsidRPr="002577A0">
        <w:rPr>
          <w:rFonts w:ascii="楷体_GB2312" w:eastAsia="楷体_GB2312" w:hAnsi="宋体"/>
          <w:bCs/>
          <w:sz w:val="32"/>
          <w:szCs w:val="32"/>
        </w:rPr>
        <w:t xml:space="preserve"> </w:t>
      </w:r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如</w:t>
      </w:r>
      <w:proofErr w:type="gramStart"/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因学术</w:t>
      </w:r>
      <w:proofErr w:type="gramEnd"/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观点等原因确需回避评</w:t>
      </w:r>
      <w:r w:rsidR="00A01EEA" w:rsidRPr="002577A0">
        <w:rPr>
          <w:rFonts w:ascii="仿宋_GB2312" w:eastAsia="仿宋_GB2312" w:hAnsi="宋体" w:cs="仿宋_GB2312" w:hint="eastAsia"/>
          <w:sz w:val="32"/>
          <w:szCs w:val="32"/>
        </w:rPr>
        <w:t>阅</w:t>
      </w:r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专家的，应在双盲评阅前由导师提出书面申请，经所在单位审核后报研究生院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审批</w:t>
      </w:r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，回避人数不得超过3名。</w:t>
      </w:r>
    </w:p>
    <w:p w:rsidR="00557665" w:rsidRPr="002577A0" w:rsidRDefault="00B1238B" w:rsidP="00B1238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4E40D2" w:rsidRPr="002577A0">
        <w:rPr>
          <w:rFonts w:ascii="楷体_GB2312" w:eastAsia="楷体_GB2312" w:hAnsi="宋体" w:hint="eastAsia"/>
          <w:bCs/>
          <w:sz w:val="32"/>
          <w:szCs w:val="32"/>
        </w:rPr>
        <w:t>十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学位论文双盲评阅合格后，方可参加学位答辩</w:t>
      </w:r>
      <w:r w:rsidR="00350246" w:rsidRPr="002577A0">
        <w:rPr>
          <w:rFonts w:ascii="仿宋_GB2312" w:eastAsia="仿宋_GB2312" w:hAnsi="宋体" w:cs="仿宋_GB2312" w:hint="eastAsia"/>
          <w:sz w:val="32"/>
          <w:szCs w:val="32"/>
        </w:rPr>
        <w:t>，且结果仅在当次学位申请中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有</w:t>
      </w:r>
      <w:r w:rsidR="00350246" w:rsidRPr="002577A0">
        <w:rPr>
          <w:rFonts w:ascii="仿宋_GB2312" w:eastAsia="仿宋_GB2312" w:hAnsi="宋体" w:cs="仿宋_GB2312" w:hint="eastAsia"/>
          <w:sz w:val="32"/>
          <w:szCs w:val="32"/>
        </w:rPr>
        <w:t>效</w:t>
      </w:r>
      <w:r w:rsidR="00557665" w:rsidRPr="002577A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8784D" w:rsidRPr="002577A0" w:rsidRDefault="00B1238B" w:rsidP="00592A46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4E40D2" w:rsidRPr="002577A0">
        <w:rPr>
          <w:rFonts w:ascii="楷体_GB2312" w:eastAsia="楷体_GB2312" w:hAnsi="宋体" w:hint="eastAsia"/>
          <w:bCs/>
          <w:sz w:val="32"/>
          <w:szCs w:val="32"/>
        </w:rPr>
        <w:t>十一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 w:rsidR="00592A46"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 w:rsidR="0048784D" w:rsidRPr="002577A0">
        <w:rPr>
          <w:rFonts w:ascii="仿宋_GB2312" w:eastAsia="仿宋_GB2312" w:hAnsi="宋体" w:cs="仿宋_GB2312" w:hint="eastAsia"/>
          <w:sz w:val="32"/>
          <w:szCs w:val="32"/>
        </w:rPr>
        <w:t>双盲评阅意见分为“同意答辩”“修改后答辩”“不同意答辩”三个等级。</w:t>
      </w:r>
    </w:p>
    <w:p w:rsidR="0051435C" w:rsidRPr="002577A0" w:rsidRDefault="00592A46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第十二条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评阅意见中“不同意答辩”意见达到2份及以上的，</w:t>
      </w:r>
      <w:r w:rsidR="0049773E" w:rsidRPr="002577A0">
        <w:rPr>
          <w:rFonts w:ascii="仿宋_GB2312" w:eastAsia="仿宋_GB2312" w:hAnsi="宋体" w:cs="仿宋_GB2312" w:hint="eastAsia"/>
          <w:sz w:val="32"/>
          <w:szCs w:val="32"/>
        </w:rPr>
        <w:t>原则上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双盲评阅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认定为“不合格”，取消</w:t>
      </w:r>
      <w:r w:rsidR="0048784D" w:rsidRPr="002577A0">
        <w:rPr>
          <w:rFonts w:ascii="仿宋_GB2312" w:eastAsia="仿宋_GB2312" w:hAnsi="宋体" w:cs="仿宋_GB2312" w:hint="eastAsia"/>
          <w:sz w:val="32"/>
          <w:szCs w:val="32"/>
        </w:rPr>
        <w:t>此次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学位申请资格且不得</w:t>
      </w:r>
      <w:r w:rsidR="004E1A83" w:rsidRPr="002577A0">
        <w:rPr>
          <w:rFonts w:ascii="仿宋_GB2312" w:eastAsia="仿宋_GB2312" w:hAnsi="宋体" w:cs="仿宋_GB2312" w:hint="eastAsia"/>
          <w:sz w:val="32"/>
          <w:szCs w:val="32"/>
        </w:rPr>
        <w:t>申诉。</w:t>
      </w:r>
    </w:p>
    <w:p w:rsidR="0051435C" w:rsidRPr="002577A0" w:rsidRDefault="00592A46" w:rsidP="008D5727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第十三条</w:t>
      </w:r>
      <w:r w:rsidR="0051435C" w:rsidRPr="002577A0">
        <w:rPr>
          <w:rFonts w:ascii="楷体_GB2312" w:eastAsia="楷体_GB2312" w:hAnsi="宋体" w:hint="eastAsia"/>
          <w:bCs/>
          <w:sz w:val="32"/>
          <w:szCs w:val="32"/>
        </w:rPr>
        <w:t xml:space="preserve">  </w:t>
      </w:r>
      <w:r w:rsidR="008D5727" w:rsidRPr="002577A0">
        <w:rPr>
          <w:rFonts w:ascii="仿宋_GB2312" w:eastAsia="仿宋_GB2312" w:hAnsi="宋体" w:cs="仿宋_GB2312" w:hint="eastAsia"/>
          <w:sz w:val="32"/>
          <w:szCs w:val="32"/>
        </w:rPr>
        <w:t>评阅意见中有1份“不同意答辩”，其余意见为“修改后答辩”或“同意答辩”的，可于一周内提出申诉，经导师签字，培养单位审核同意后，报研究生院统一组织。</w:t>
      </w:r>
    </w:p>
    <w:p w:rsidR="00C574E6" w:rsidRPr="002577A0" w:rsidRDefault="00592A46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第十四条</w:t>
      </w:r>
      <w:r w:rsidR="0051435C" w:rsidRPr="002577A0">
        <w:rPr>
          <w:rFonts w:ascii="楷体_GB2312" w:eastAsia="楷体_GB2312" w:hAnsi="宋体" w:hint="eastAsia"/>
          <w:bCs/>
          <w:sz w:val="32"/>
          <w:szCs w:val="32"/>
        </w:rPr>
        <w:t xml:space="preserve">  </w:t>
      </w:r>
      <w:r w:rsidR="0051435C" w:rsidRPr="002577A0">
        <w:rPr>
          <w:rFonts w:ascii="仿宋_GB2312" w:eastAsia="仿宋_GB2312" w:hAnsiTheme="minorHAnsi" w:cstheme="minorBidi" w:hint="eastAsia"/>
          <w:sz w:val="32"/>
          <w:szCs w:val="32"/>
        </w:rPr>
        <w:t>评阅意见中明确提出有重大结果错误或</w:t>
      </w:r>
      <w:r w:rsidR="005918B3" w:rsidRPr="002577A0">
        <w:rPr>
          <w:rFonts w:ascii="仿宋_GB2312" w:eastAsia="仿宋_GB2312" w:hAnsiTheme="minorHAnsi" w:cstheme="minorBidi" w:hint="eastAsia"/>
          <w:sz w:val="32"/>
          <w:szCs w:val="32"/>
        </w:rPr>
        <w:t>学术不端行为的</w:t>
      </w:r>
      <w:r w:rsidR="0051435C" w:rsidRPr="002577A0">
        <w:rPr>
          <w:rFonts w:ascii="仿宋_GB2312" w:eastAsia="仿宋_GB2312" w:hAnsiTheme="minorHAnsi" w:cstheme="minorBidi" w:hint="eastAsia"/>
          <w:sz w:val="32"/>
          <w:szCs w:val="32"/>
        </w:rPr>
        <w:t>不得申诉。</w:t>
      </w:r>
    </w:p>
    <w:p w:rsidR="001B4D25" w:rsidRPr="002577A0" w:rsidRDefault="00592A46" w:rsidP="00B1238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第十五条</w:t>
      </w:r>
      <w:r w:rsidR="0051435C" w:rsidRPr="002577A0">
        <w:rPr>
          <w:rFonts w:ascii="楷体_GB2312" w:eastAsia="楷体_GB2312" w:hAnsi="宋体" w:hint="eastAsia"/>
          <w:bCs/>
          <w:sz w:val="32"/>
          <w:szCs w:val="32"/>
        </w:rPr>
        <w:t xml:space="preserve">  </w:t>
      </w:r>
      <w:r w:rsidR="00386BA2" w:rsidRPr="002577A0">
        <w:rPr>
          <w:rFonts w:ascii="仿宋_GB2312" w:eastAsia="仿宋_GB2312" w:hAnsi="宋体" w:cs="仿宋_GB2312" w:hint="eastAsia"/>
          <w:sz w:val="32"/>
          <w:szCs w:val="32"/>
        </w:rPr>
        <w:t>申诉论文需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重新</w:t>
      </w:r>
      <w:r w:rsidR="00386BA2" w:rsidRPr="002577A0">
        <w:rPr>
          <w:rFonts w:ascii="仿宋_GB2312" w:eastAsia="仿宋_GB2312" w:hAnsi="宋体" w:cs="仿宋_GB2312" w:hint="eastAsia"/>
          <w:sz w:val="32"/>
          <w:szCs w:val="32"/>
        </w:rPr>
        <w:t>聘请3名评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阅</w:t>
      </w:r>
      <w:r w:rsidR="00386BA2" w:rsidRPr="002577A0">
        <w:rPr>
          <w:rFonts w:ascii="仿宋_GB2312" w:eastAsia="仿宋_GB2312" w:hAnsi="宋体" w:cs="仿宋_GB2312" w:hint="eastAsia"/>
          <w:sz w:val="32"/>
          <w:szCs w:val="32"/>
        </w:rPr>
        <w:t>专家，申诉评阅意见中有1份“不同意答辩”</w:t>
      </w:r>
      <w:r w:rsidR="00A40BD7" w:rsidRPr="002577A0">
        <w:rPr>
          <w:rFonts w:ascii="仿宋_GB2312" w:eastAsia="仿宋_GB2312" w:hAnsi="宋体" w:cs="仿宋_GB2312" w:hint="eastAsia"/>
          <w:sz w:val="32"/>
          <w:szCs w:val="32"/>
        </w:rPr>
        <w:t>的，</w:t>
      </w:r>
      <w:r w:rsidR="00386BA2" w:rsidRPr="002577A0">
        <w:rPr>
          <w:rFonts w:ascii="仿宋_GB2312" w:eastAsia="仿宋_GB2312" w:hAnsi="宋体" w:cs="仿宋_GB2312" w:hint="eastAsia"/>
          <w:sz w:val="32"/>
          <w:szCs w:val="32"/>
        </w:rPr>
        <w:t>双盲评阅认定为“不合格”，取消此次学位申请资格。</w:t>
      </w:r>
    </w:p>
    <w:p w:rsidR="001B4D25" w:rsidRPr="002577A0" w:rsidRDefault="006E550D" w:rsidP="00A01EEA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lastRenderedPageBreak/>
        <w:t>第十</w:t>
      </w:r>
      <w:r w:rsidR="004E40D2" w:rsidRPr="002577A0">
        <w:rPr>
          <w:rFonts w:ascii="楷体_GB2312" w:eastAsia="楷体_GB2312" w:hAnsi="宋体" w:hint="eastAsia"/>
          <w:bCs/>
          <w:sz w:val="32"/>
          <w:szCs w:val="32"/>
        </w:rPr>
        <w:t>六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 xml:space="preserve">条 </w:t>
      </w:r>
      <w:r w:rsidRPr="002577A0">
        <w:rPr>
          <w:rFonts w:ascii="楷体_GB2312" w:eastAsia="楷体_GB2312" w:hAnsi="宋体"/>
          <w:bCs/>
          <w:sz w:val="32"/>
          <w:szCs w:val="32"/>
        </w:rPr>
        <w:t xml:space="preserve"> 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累计</w:t>
      </w:r>
      <w:r w:rsidR="001C23FF" w:rsidRPr="002577A0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B1238B" w:rsidRPr="002577A0">
        <w:rPr>
          <w:rFonts w:ascii="仿宋_GB2312" w:eastAsia="仿宋_GB2312" w:hAnsi="宋体" w:cs="仿宋_GB2312" w:hint="eastAsia"/>
          <w:sz w:val="32"/>
          <w:szCs w:val="32"/>
        </w:rPr>
        <w:t>次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双盲评阅结果</w:t>
      </w:r>
      <w:r w:rsidR="00B1238B" w:rsidRPr="002577A0">
        <w:rPr>
          <w:rFonts w:ascii="仿宋_GB2312" w:eastAsia="仿宋_GB2312" w:hAnsi="宋体" w:cs="仿宋_GB2312" w:hint="eastAsia"/>
          <w:sz w:val="32"/>
          <w:szCs w:val="32"/>
        </w:rPr>
        <w:t>“不合格”的，不再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受理</w:t>
      </w:r>
      <w:r w:rsidR="00B1238B" w:rsidRPr="002577A0">
        <w:rPr>
          <w:rFonts w:ascii="仿宋_GB2312" w:eastAsia="仿宋_GB2312" w:hAnsi="宋体" w:cs="仿宋_GB2312" w:hint="eastAsia"/>
          <w:sz w:val="32"/>
          <w:szCs w:val="32"/>
        </w:rPr>
        <w:t>其学位申请。</w:t>
      </w:r>
    </w:p>
    <w:p w:rsidR="00EB0A18" w:rsidRPr="002577A0" w:rsidRDefault="001B4D25" w:rsidP="00EB0A18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第十</w:t>
      </w:r>
      <w:r w:rsidR="004E40D2" w:rsidRPr="002577A0">
        <w:rPr>
          <w:rFonts w:ascii="楷体_GB2312" w:eastAsia="楷体_GB2312" w:hAnsi="宋体" w:hint="eastAsia"/>
          <w:bCs/>
          <w:sz w:val="32"/>
          <w:szCs w:val="32"/>
        </w:rPr>
        <w:t>七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="00EB0A18" w:rsidRPr="002577A0">
        <w:rPr>
          <w:rFonts w:ascii="仿宋_GB2312" w:eastAsia="仿宋_GB2312" w:hAnsi="宋体" w:cs="仿宋_GB2312" w:hint="eastAsia"/>
          <w:sz w:val="32"/>
          <w:szCs w:val="32"/>
        </w:rPr>
        <w:t>各培养单位及学位</w:t>
      </w:r>
      <w:r w:rsidR="000B1AB1" w:rsidRPr="002577A0">
        <w:rPr>
          <w:rFonts w:ascii="仿宋_GB2312" w:eastAsia="仿宋_GB2312" w:hAnsi="宋体" w:cs="仿宋_GB2312" w:hint="eastAsia"/>
          <w:sz w:val="32"/>
          <w:szCs w:val="32"/>
        </w:rPr>
        <w:t>评定委员会分委会</w:t>
      </w:r>
      <w:r w:rsidR="00EB0A18" w:rsidRPr="002577A0">
        <w:rPr>
          <w:rFonts w:ascii="仿宋_GB2312" w:eastAsia="仿宋_GB2312" w:hAnsi="宋体" w:cs="仿宋_GB2312" w:hint="eastAsia"/>
          <w:sz w:val="32"/>
          <w:szCs w:val="32"/>
        </w:rPr>
        <w:t>可在不低于此标准的情况下自行设定双盲评阅结果认定标准。</w:t>
      </w:r>
    </w:p>
    <w:p w:rsidR="001B4D25" w:rsidRPr="002577A0" w:rsidRDefault="00EB0A18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 xml:space="preserve">第十八条  </w:t>
      </w:r>
      <w:r w:rsidR="00626FE0" w:rsidRPr="002577A0">
        <w:rPr>
          <w:rFonts w:ascii="仿宋_GB2312" w:eastAsia="仿宋_GB2312" w:hAnsi="宋体" w:cs="仿宋_GB2312" w:hint="eastAsia"/>
          <w:sz w:val="32"/>
          <w:szCs w:val="32"/>
        </w:rPr>
        <w:t>学位论文双盲评阅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结果返回后，方可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参加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学位答辩</w:t>
      </w:r>
      <w:r w:rsidR="00C6539B" w:rsidRPr="002577A0">
        <w:rPr>
          <w:rFonts w:ascii="仿宋_GB2312" w:eastAsia="仿宋_GB2312" w:hAnsi="宋体" w:cs="仿宋_GB2312" w:hint="eastAsia"/>
          <w:sz w:val="32"/>
          <w:szCs w:val="32"/>
        </w:rPr>
        <w:t>；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确需</w:t>
      </w:r>
      <w:r w:rsidR="00C6539B" w:rsidRPr="002577A0">
        <w:rPr>
          <w:rFonts w:ascii="仿宋_GB2312" w:eastAsia="仿宋_GB2312" w:hAnsi="宋体" w:cs="仿宋_GB2312" w:hint="eastAsia"/>
          <w:sz w:val="32"/>
          <w:szCs w:val="32"/>
        </w:rPr>
        <w:t>在双盲评阅结果返回前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参加</w:t>
      </w:r>
      <w:r w:rsidR="00C6539B" w:rsidRPr="002577A0">
        <w:rPr>
          <w:rFonts w:ascii="仿宋_GB2312" w:eastAsia="仿宋_GB2312" w:hAnsi="宋体" w:cs="仿宋_GB2312" w:hint="eastAsia"/>
          <w:sz w:val="32"/>
          <w:szCs w:val="32"/>
        </w:rPr>
        <w:t>学位答辩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的，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须</w:t>
      </w:r>
      <w:r w:rsidR="00C6539B" w:rsidRPr="002577A0">
        <w:rPr>
          <w:rFonts w:ascii="仿宋_GB2312" w:eastAsia="仿宋_GB2312" w:hAnsi="宋体" w:cs="仿宋_GB2312" w:hint="eastAsia"/>
          <w:sz w:val="32"/>
          <w:szCs w:val="32"/>
        </w:rPr>
        <w:t>提前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报研究生院</w:t>
      </w:r>
      <w:r w:rsidR="00994A78" w:rsidRPr="002577A0">
        <w:rPr>
          <w:rFonts w:ascii="仿宋_GB2312" w:eastAsia="仿宋_GB2312" w:hAnsi="宋体" w:cs="仿宋_GB2312" w:hint="eastAsia"/>
          <w:sz w:val="32"/>
          <w:szCs w:val="32"/>
        </w:rPr>
        <w:t>备案</w:t>
      </w:r>
      <w:r w:rsidR="00C6539B" w:rsidRPr="002577A0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如</w:t>
      </w:r>
      <w:r w:rsidR="00B1238B" w:rsidRPr="002577A0">
        <w:rPr>
          <w:rFonts w:ascii="仿宋_GB2312" w:eastAsia="仿宋_GB2312" w:hAnsi="宋体" w:cs="仿宋_GB2312" w:hint="eastAsia"/>
          <w:sz w:val="32"/>
          <w:szCs w:val="32"/>
        </w:rPr>
        <w:t>双盲评阅</w:t>
      </w:r>
      <w:r w:rsidR="001B4D25" w:rsidRPr="002577A0">
        <w:rPr>
          <w:rFonts w:ascii="仿宋_GB2312" w:eastAsia="仿宋_GB2312" w:hAnsi="宋体" w:cs="仿宋_GB2312" w:hint="eastAsia"/>
          <w:sz w:val="32"/>
          <w:szCs w:val="32"/>
        </w:rPr>
        <w:t>结果为“不合格”，本次答辩无效。</w:t>
      </w:r>
    </w:p>
    <w:p w:rsidR="008726D4" w:rsidRPr="002577A0" w:rsidRDefault="00EB0A18" w:rsidP="004D4E33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 xml:space="preserve">第十九条  </w:t>
      </w:r>
      <w:r w:rsidR="008726D4" w:rsidRPr="002577A0">
        <w:rPr>
          <w:rFonts w:ascii="仿宋_GB2312" w:eastAsia="仿宋_GB2312" w:hAnsi="宋体" w:cs="仿宋_GB2312" w:hint="eastAsia"/>
          <w:sz w:val="32"/>
          <w:szCs w:val="32"/>
        </w:rPr>
        <w:t>学位论文双盲评阅第一次送审费用由学校统一支付，需二次送审的费用由该学位论文作者或其导师承担。</w:t>
      </w:r>
    </w:p>
    <w:p w:rsidR="00837300" w:rsidRPr="002577A0" w:rsidRDefault="00837300" w:rsidP="004D4E33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 xml:space="preserve">第二十条  </w:t>
      </w:r>
      <w:r w:rsidR="008726D4" w:rsidRPr="002577A0">
        <w:rPr>
          <w:rFonts w:ascii="仿宋_GB2312" w:eastAsia="仿宋_GB2312" w:hAnsi="宋体" w:hint="eastAsia"/>
          <w:sz w:val="32"/>
          <w:szCs w:val="32"/>
        </w:rPr>
        <w:t>研究生须</w:t>
      </w:r>
      <w:r w:rsidR="008726D4" w:rsidRPr="002577A0">
        <w:rPr>
          <w:rFonts w:ascii="仿宋_GB2312" w:eastAsia="仿宋_GB2312" w:hAnsi="宋体" w:cs="仿宋_GB2312" w:hint="eastAsia"/>
          <w:sz w:val="32"/>
          <w:szCs w:val="32"/>
        </w:rPr>
        <w:t>按照双盲评阅意见对学位论文进行全面修改，</w:t>
      </w:r>
      <w:r w:rsidR="005918B3" w:rsidRPr="002577A0">
        <w:rPr>
          <w:rFonts w:ascii="仿宋_GB2312" w:eastAsia="仿宋_GB2312" w:hAnsi="宋体" w:cs="仿宋_GB2312" w:hint="eastAsia"/>
          <w:sz w:val="32"/>
          <w:szCs w:val="32"/>
        </w:rPr>
        <w:t>而后由培养单位</w:t>
      </w:r>
      <w:r w:rsidR="008726D4" w:rsidRPr="002577A0">
        <w:rPr>
          <w:rFonts w:ascii="仿宋_GB2312" w:eastAsia="仿宋_GB2312" w:hAnsi="宋体" w:cs="仿宋_GB2312" w:hint="eastAsia"/>
          <w:sz w:val="32"/>
          <w:szCs w:val="32"/>
        </w:rPr>
        <w:t>至少聘请3位</w:t>
      </w:r>
      <w:r w:rsidR="00686023" w:rsidRPr="002577A0">
        <w:rPr>
          <w:rFonts w:ascii="仿宋_GB2312" w:eastAsia="仿宋_GB2312" w:hAnsi="宋体" w:cs="仿宋_GB2312" w:hint="eastAsia"/>
          <w:sz w:val="32"/>
          <w:szCs w:val="32"/>
        </w:rPr>
        <w:t>相关领域</w:t>
      </w:r>
      <w:r w:rsidR="008726D4" w:rsidRPr="002577A0">
        <w:rPr>
          <w:rFonts w:ascii="仿宋_GB2312" w:eastAsia="仿宋_GB2312" w:hAnsi="宋体" w:cs="仿宋_GB2312" w:hint="eastAsia"/>
          <w:sz w:val="32"/>
          <w:szCs w:val="32"/>
        </w:rPr>
        <w:t>专家对学位论文进行审查，合格后方可参加答辩。</w:t>
      </w:r>
    </w:p>
    <w:p w:rsidR="001B4D25" w:rsidRPr="002577A0" w:rsidRDefault="001B4D25" w:rsidP="00DC45EC">
      <w:pPr>
        <w:pStyle w:val="3"/>
        <w:overflowPunct w:val="0"/>
        <w:spacing w:beforeLines="50" w:before="156" w:afterLines="50" w:after="156" w:line="560" w:lineRule="exact"/>
        <w:ind w:firstLineChars="0" w:firstLine="0"/>
        <w:jc w:val="center"/>
        <w:outlineLvl w:val="9"/>
        <w:rPr>
          <w:rFonts w:ascii="黑体" w:hAnsi="黑体"/>
          <w:sz w:val="32"/>
          <w:szCs w:val="32"/>
        </w:rPr>
      </w:pPr>
      <w:r w:rsidRPr="002577A0">
        <w:rPr>
          <w:rFonts w:ascii="黑体" w:hAnsi="黑体" w:hint="eastAsia"/>
          <w:sz w:val="32"/>
          <w:szCs w:val="32"/>
        </w:rPr>
        <w:t>第三章</w:t>
      </w:r>
      <w:r w:rsidRPr="002577A0">
        <w:rPr>
          <w:rFonts w:ascii="黑体" w:hAnsi="黑体"/>
          <w:sz w:val="32"/>
          <w:szCs w:val="32"/>
        </w:rPr>
        <w:t xml:space="preserve">  </w:t>
      </w:r>
      <w:r w:rsidRPr="002577A0">
        <w:rPr>
          <w:rFonts w:ascii="黑体" w:hAnsi="黑体" w:hint="eastAsia"/>
          <w:sz w:val="32"/>
          <w:szCs w:val="32"/>
        </w:rPr>
        <w:t>学位论文学术不端检测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837300" w:rsidRPr="002577A0">
        <w:rPr>
          <w:rFonts w:ascii="楷体_GB2312" w:eastAsia="楷体_GB2312" w:hAnsi="宋体" w:hint="eastAsia"/>
          <w:bCs/>
          <w:sz w:val="32"/>
          <w:szCs w:val="32"/>
        </w:rPr>
        <w:t>二十一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 w:rsidR="00576452" w:rsidRPr="002577A0">
        <w:rPr>
          <w:rFonts w:ascii="仿宋_GB2312" w:eastAsia="仿宋_GB2312" w:hAnsi="宋体" w:cs="仿宋_GB2312" w:hint="eastAsia"/>
          <w:sz w:val="32"/>
          <w:szCs w:val="32"/>
        </w:rPr>
        <w:t>所有拟参加学位答辩的论文均须进行学术不端行为检测，无故不参加学术不端行为检测的，取消本次学位申请资格。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第二十</w:t>
      </w:r>
      <w:r w:rsidR="00837300" w:rsidRPr="002577A0">
        <w:rPr>
          <w:rFonts w:ascii="楷体_GB2312" w:eastAsia="楷体_GB2312" w:hAnsi="宋体" w:hint="eastAsia"/>
          <w:bCs/>
          <w:sz w:val="32"/>
          <w:szCs w:val="32"/>
        </w:rPr>
        <w:t>二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学位论文学术不端检测结果按以下标准认定：</w:t>
      </w:r>
    </w:p>
    <w:p w:rsidR="001B4D25" w:rsidRPr="002577A0" w:rsidRDefault="001B4D25" w:rsidP="00F65E46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1. 博士论文复制比≤</w:t>
      </w:r>
      <w:r w:rsidR="00ED67D9" w:rsidRPr="002577A0">
        <w:rPr>
          <w:rFonts w:ascii="仿宋_GB2312" w:eastAsia="仿宋_GB2312" w:hAnsi="宋体" w:cs="仿宋_GB2312"/>
          <w:sz w:val="32"/>
          <w:szCs w:val="32"/>
        </w:rPr>
        <w:t>8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%、硕士论文复制比≤1</w:t>
      </w:r>
      <w:r w:rsidR="00ED67D9" w:rsidRPr="002577A0">
        <w:rPr>
          <w:rFonts w:ascii="仿宋_GB2312" w:eastAsia="仿宋_GB2312" w:hAnsi="宋体" w:cs="仿宋_GB2312"/>
          <w:sz w:val="32"/>
          <w:szCs w:val="32"/>
        </w:rPr>
        <w:t>0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%的，导师依据检测报告审核</w:t>
      </w:r>
      <w:r w:rsidR="00ED67D9" w:rsidRPr="002577A0">
        <w:rPr>
          <w:rFonts w:ascii="仿宋_GB2312" w:eastAsia="仿宋_GB2312" w:hAnsi="宋体" w:cs="仿宋_GB2312" w:hint="eastAsia"/>
          <w:sz w:val="32"/>
          <w:szCs w:val="32"/>
        </w:rPr>
        <w:t>论文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，确认无学术不端行为后方可答辩</w:t>
      </w:r>
      <w:r w:rsidR="00ED67D9" w:rsidRPr="002577A0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F65E46" w:rsidRPr="002577A0">
        <w:rPr>
          <w:rFonts w:ascii="仿宋_GB2312" w:eastAsia="仿宋_GB2312" w:hAnsi="宋体" w:cs="仿宋_GB2312" w:hint="eastAsia"/>
          <w:sz w:val="32"/>
          <w:szCs w:val="32"/>
        </w:rPr>
        <w:t>答辩时应专门汇报学术不端检测情况，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学位论文中文字重合部分均应与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lastRenderedPageBreak/>
        <w:t>被重合文献有引证关系，如无引证关系，由答辩委员会认定</w:t>
      </w:r>
      <w:r w:rsidR="00F65E46" w:rsidRPr="002577A0">
        <w:rPr>
          <w:rFonts w:ascii="仿宋_GB2312" w:eastAsia="仿宋_GB2312" w:hAnsi="宋体" w:cs="仿宋_GB2312" w:hint="eastAsia"/>
          <w:sz w:val="32"/>
          <w:szCs w:val="32"/>
        </w:rPr>
        <w:t>是否存在学术不端行为。</w:t>
      </w:r>
    </w:p>
    <w:p w:rsidR="001B4D25" w:rsidRPr="002577A0" w:rsidRDefault="001B4D25" w:rsidP="004D4E33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2. 博士论文复制比＞</w:t>
      </w:r>
      <w:r w:rsidR="00ED67D9" w:rsidRPr="002577A0">
        <w:rPr>
          <w:rFonts w:ascii="仿宋_GB2312" w:eastAsia="仿宋_GB2312" w:hAnsi="宋体" w:cs="仿宋_GB2312"/>
          <w:sz w:val="32"/>
          <w:szCs w:val="32"/>
        </w:rPr>
        <w:t>8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%、硕士论文复制比＞1</w:t>
      </w:r>
      <w:r w:rsidR="00ED67D9" w:rsidRPr="002577A0">
        <w:rPr>
          <w:rFonts w:ascii="仿宋_GB2312" w:eastAsia="仿宋_GB2312" w:hAnsi="宋体" w:cs="仿宋_GB2312"/>
          <w:sz w:val="32"/>
          <w:szCs w:val="32"/>
        </w:rPr>
        <w:t>0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%的，经修改后可再次申请检测，结果仍超标的，取消本次答辩资格。</w:t>
      </w:r>
    </w:p>
    <w:p w:rsidR="001B4D25" w:rsidRPr="002577A0" w:rsidRDefault="001B4D25" w:rsidP="004D4E33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3. 如发现有学术不端行为的，按相关规定处理。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第二十</w:t>
      </w:r>
      <w:r w:rsidR="00837300" w:rsidRPr="002577A0">
        <w:rPr>
          <w:rFonts w:ascii="楷体_GB2312" w:eastAsia="楷体_GB2312" w:hAnsi="宋体" w:hint="eastAsia"/>
          <w:bCs/>
          <w:sz w:val="32"/>
          <w:szCs w:val="32"/>
        </w:rPr>
        <w:t>三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通过学位论文答辩后，申请人应根据评阅专家和答辩委员会意见修改学位论文，并按要求提交最终版本的学位论文。学校将对其统一组织学位论文学术不端二次检测，通过者报送军队学位中心归档，</w:t>
      </w:r>
      <w:r w:rsidR="006B1E11" w:rsidRPr="002577A0">
        <w:rPr>
          <w:rFonts w:ascii="仿宋_GB2312" w:eastAsia="仿宋_GB2312" w:hAnsi="宋体" w:cs="仿宋_GB2312" w:hint="eastAsia"/>
          <w:sz w:val="32"/>
          <w:szCs w:val="32"/>
        </w:rPr>
        <w:t>以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备军队学位中心检测抽查；博士论文复制比＞</w:t>
      </w:r>
      <w:r w:rsidR="008E5396" w:rsidRPr="002577A0">
        <w:rPr>
          <w:rFonts w:ascii="仿宋_GB2312" w:eastAsia="仿宋_GB2312" w:hAnsi="宋体" w:cs="仿宋_GB2312" w:hint="eastAsia"/>
          <w:sz w:val="32"/>
          <w:szCs w:val="32"/>
        </w:rPr>
        <w:t>8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%、硕士论文复制比＞</w:t>
      </w:r>
      <w:r w:rsidR="008E5396" w:rsidRPr="002577A0">
        <w:rPr>
          <w:rFonts w:ascii="仿宋_GB2312" w:eastAsia="仿宋_GB2312" w:hAnsi="宋体" w:cs="仿宋_GB2312" w:hint="eastAsia"/>
          <w:sz w:val="32"/>
          <w:szCs w:val="32"/>
        </w:rPr>
        <w:t>10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%的，一律按不合格处理，取消本次学位授予。</w:t>
      </w:r>
    </w:p>
    <w:p w:rsidR="001B4D25" w:rsidRPr="002577A0" w:rsidRDefault="001B4D25" w:rsidP="00DC45EC">
      <w:pPr>
        <w:pStyle w:val="3"/>
        <w:overflowPunct w:val="0"/>
        <w:spacing w:beforeLines="50" w:before="156" w:afterLines="50" w:after="156" w:line="560" w:lineRule="exact"/>
        <w:ind w:firstLineChars="0" w:firstLine="0"/>
        <w:jc w:val="center"/>
        <w:outlineLvl w:val="9"/>
        <w:rPr>
          <w:rFonts w:ascii="黑体" w:hAnsi="黑体"/>
          <w:sz w:val="32"/>
          <w:szCs w:val="32"/>
        </w:rPr>
      </w:pPr>
      <w:r w:rsidRPr="002577A0">
        <w:rPr>
          <w:rFonts w:ascii="黑体" w:hAnsi="黑体" w:hint="eastAsia"/>
          <w:sz w:val="32"/>
          <w:szCs w:val="32"/>
        </w:rPr>
        <w:t>第四章 军队学位论文抽查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第二十</w:t>
      </w:r>
      <w:r w:rsidR="00837300" w:rsidRPr="002577A0">
        <w:rPr>
          <w:rFonts w:ascii="楷体_GB2312" w:eastAsia="楷体_GB2312" w:hAnsi="宋体" w:hint="eastAsia"/>
          <w:bCs/>
          <w:sz w:val="32"/>
          <w:szCs w:val="32"/>
        </w:rPr>
        <w:t>四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军队学位论文抽查工作按照有关文件精神，由军队相关管理部门组织实施，</w:t>
      </w:r>
      <w:r w:rsidR="00837300" w:rsidRPr="002577A0">
        <w:rPr>
          <w:rFonts w:ascii="仿宋_GB2312" w:eastAsia="仿宋_GB2312" w:hAnsi="宋体" w:cs="仿宋_GB2312" w:hint="eastAsia"/>
          <w:sz w:val="32"/>
          <w:szCs w:val="32"/>
        </w:rPr>
        <w:t>各院校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协助开展。</w:t>
      </w:r>
    </w:p>
    <w:p w:rsidR="001B4D25" w:rsidRPr="002577A0" w:rsidRDefault="001B4D25" w:rsidP="00F74ECB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第二十</w:t>
      </w:r>
      <w:r w:rsidR="00837300" w:rsidRPr="002577A0">
        <w:rPr>
          <w:rFonts w:ascii="楷体_GB2312" w:eastAsia="楷体_GB2312" w:hAnsi="宋体" w:hint="eastAsia"/>
          <w:bCs/>
          <w:sz w:val="32"/>
          <w:szCs w:val="32"/>
        </w:rPr>
        <w:t>五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抽查论文为上一学年度授予学位时提交的学位论文（双盲版），由军队学位与研究生教育研究中心从军队博士、硕士学位论文数据库中</w:t>
      </w:r>
      <w:r w:rsidR="00F65E46" w:rsidRPr="002577A0">
        <w:rPr>
          <w:rFonts w:ascii="仿宋_GB2312" w:eastAsia="仿宋_GB2312" w:hAnsi="宋体" w:cs="仿宋_GB2312" w:hint="eastAsia"/>
          <w:sz w:val="32"/>
          <w:szCs w:val="32"/>
        </w:rPr>
        <w:t>抽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取。</w:t>
      </w:r>
    </w:p>
    <w:p w:rsidR="00F65E46" w:rsidRPr="002577A0" w:rsidRDefault="00F65E46" w:rsidP="00F65E46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第二十</w:t>
      </w:r>
      <w:r w:rsidR="00837300" w:rsidRPr="002577A0">
        <w:rPr>
          <w:rFonts w:ascii="楷体_GB2312" w:eastAsia="楷体_GB2312" w:hAnsi="宋体" w:hint="eastAsia"/>
          <w:bCs/>
          <w:sz w:val="32"/>
          <w:szCs w:val="32"/>
        </w:rPr>
        <w:t>六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抽查</w:t>
      </w:r>
      <w:r w:rsidR="00F004B5" w:rsidRPr="002577A0">
        <w:rPr>
          <w:rFonts w:ascii="仿宋_GB2312" w:eastAsia="仿宋_GB2312" w:hAnsi="宋体" w:cs="仿宋_GB2312" w:hint="eastAsia"/>
          <w:sz w:val="32"/>
          <w:szCs w:val="32"/>
        </w:rPr>
        <w:t>初审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结果为“不合格”的学位论文，按以下办法处理：</w:t>
      </w:r>
      <w:r w:rsidR="00763273" w:rsidRPr="002577A0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F004B5" w:rsidRPr="002577A0" w:rsidRDefault="00F004B5" w:rsidP="00F65E46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（一）</w:t>
      </w:r>
      <w:r w:rsidR="00576452" w:rsidRPr="002577A0">
        <w:rPr>
          <w:rFonts w:ascii="仿宋_GB2312" w:eastAsia="仿宋_GB2312" w:hAnsi="宋体" w:cs="仿宋_GB2312" w:hint="eastAsia"/>
          <w:sz w:val="32"/>
          <w:szCs w:val="32"/>
        </w:rPr>
        <w:t>每出现1篇不合格学位论文，减少该论文作者导师所</w:t>
      </w:r>
      <w:r w:rsidR="00576452" w:rsidRPr="002577A0">
        <w:rPr>
          <w:rFonts w:ascii="仿宋_GB2312" w:eastAsia="仿宋_GB2312" w:hAnsi="宋体" w:cs="仿宋_GB2312" w:hint="eastAsia"/>
          <w:sz w:val="32"/>
          <w:szCs w:val="32"/>
        </w:rPr>
        <w:lastRenderedPageBreak/>
        <w:t>属学科所在单位下一年度</w:t>
      </w:r>
      <w:r w:rsidR="00C61DDD" w:rsidRPr="002577A0">
        <w:rPr>
          <w:rFonts w:ascii="仿宋_GB2312" w:eastAsia="仿宋_GB2312" w:hAnsi="宋体" w:cs="仿宋_GB2312" w:hint="eastAsia"/>
          <w:sz w:val="32"/>
          <w:szCs w:val="32"/>
        </w:rPr>
        <w:t>相同学历层次的</w:t>
      </w:r>
      <w:r w:rsidR="00576452" w:rsidRPr="002577A0">
        <w:rPr>
          <w:rFonts w:ascii="仿宋_GB2312" w:eastAsia="仿宋_GB2312" w:hAnsi="宋体" w:cs="仿宋_GB2312" w:hint="eastAsia"/>
          <w:sz w:val="32"/>
          <w:szCs w:val="32"/>
        </w:rPr>
        <w:t>博士或硕士招生指标1个。</w:t>
      </w:r>
    </w:p>
    <w:p w:rsidR="00F004B5" w:rsidRPr="002577A0" w:rsidRDefault="00F004B5" w:rsidP="00F004B5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="00DE18C4" w:rsidRPr="002577A0">
        <w:rPr>
          <w:rFonts w:ascii="仿宋_GB2312" w:eastAsia="仿宋_GB2312" w:hAnsi="宋体" w:cs="仿宋_GB2312" w:hint="eastAsia"/>
          <w:sz w:val="32"/>
          <w:szCs w:val="32"/>
        </w:rPr>
        <w:t>连续</w:t>
      </w:r>
      <w:r w:rsidR="00005B2A" w:rsidRPr="002577A0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042400" w:rsidRPr="002577A0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154C91" w:rsidRPr="002577A0">
        <w:rPr>
          <w:rFonts w:ascii="仿宋_GB2312" w:eastAsia="仿宋_GB2312" w:hAnsi="宋体" w:cs="仿宋_GB2312" w:hint="eastAsia"/>
          <w:sz w:val="32"/>
          <w:szCs w:val="32"/>
        </w:rPr>
        <w:t>出现</w:t>
      </w:r>
      <w:r w:rsidR="00005B2A" w:rsidRPr="002577A0">
        <w:rPr>
          <w:rFonts w:ascii="仿宋_GB2312" w:eastAsia="仿宋_GB2312" w:hAnsi="宋体" w:cs="仿宋_GB2312" w:hint="eastAsia"/>
          <w:sz w:val="32"/>
          <w:szCs w:val="32"/>
        </w:rPr>
        <w:t>不合格的学位论文作者</w:t>
      </w:r>
      <w:r w:rsidR="00154C91" w:rsidRPr="002577A0">
        <w:rPr>
          <w:rFonts w:ascii="仿宋_GB2312" w:eastAsia="仿宋_GB2312" w:hAnsi="宋体" w:cs="仿宋_GB2312" w:hint="eastAsia"/>
          <w:sz w:val="32"/>
          <w:szCs w:val="32"/>
        </w:rPr>
        <w:t>导师</w:t>
      </w:r>
      <w:r w:rsidR="00793FAD" w:rsidRPr="002577A0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D5224A" w:rsidRPr="002577A0">
        <w:rPr>
          <w:rFonts w:ascii="仿宋_GB2312" w:eastAsia="仿宋_GB2312" w:hAnsi="宋体" w:cs="仿宋_GB2312" w:hint="eastAsia"/>
          <w:sz w:val="32"/>
          <w:szCs w:val="32"/>
        </w:rPr>
        <w:t>暂停招生资格1年</w:t>
      </w:r>
      <w:r w:rsidR="00763273" w:rsidRPr="002577A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F004B5" w:rsidRPr="002577A0" w:rsidRDefault="00F004B5" w:rsidP="00F004B5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第二十</w:t>
      </w:r>
      <w:r w:rsidR="00763273" w:rsidRPr="002577A0">
        <w:rPr>
          <w:rFonts w:ascii="楷体_GB2312" w:eastAsia="楷体_GB2312" w:hAnsi="宋体" w:hint="eastAsia"/>
          <w:bCs/>
          <w:sz w:val="32"/>
          <w:szCs w:val="32"/>
        </w:rPr>
        <w:t>七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抽查</w:t>
      </w:r>
      <w:r w:rsidR="00763273" w:rsidRPr="002577A0">
        <w:rPr>
          <w:rFonts w:ascii="仿宋_GB2312" w:eastAsia="仿宋_GB2312" w:hAnsi="宋体" w:cs="仿宋_GB2312" w:hint="eastAsia"/>
          <w:sz w:val="32"/>
          <w:szCs w:val="32"/>
        </w:rPr>
        <w:t>终审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结果为“不合格”的学位论文，按以下办法处理：</w:t>
      </w:r>
    </w:p>
    <w:p w:rsidR="00F004B5" w:rsidRPr="002577A0" w:rsidRDefault="00F004B5" w:rsidP="00F004B5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（一）撤销学位论文作者学位，且不再</w:t>
      </w:r>
      <w:r w:rsidR="007058CA" w:rsidRPr="002577A0">
        <w:rPr>
          <w:rFonts w:ascii="仿宋_GB2312" w:eastAsia="仿宋_GB2312" w:hAnsi="宋体" w:cs="仿宋_GB2312" w:hint="eastAsia"/>
          <w:sz w:val="32"/>
          <w:szCs w:val="32"/>
        </w:rPr>
        <w:t>受理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其学位</w:t>
      </w:r>
      <w:r w:rsidR="007058CA" w:rsidRPr="002577A0">
        <w:rPr>
          <w:rFonts w:ascii="仿宋_GB2312" w:eastAsia="仿宋_GB2312" w:hAnsi="宋体" w:cs="仿宋_GB2312" w:hint="eastAsia"/>
          <w:sz w:val="32"/>
          <w:szCs w:val="32"/>
        </w:rPr>
        <w:t>申请</w:t>
      </w:r>
      <w:r w:rsidR="0059535C" w:rsidRPr="002577A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F004B5" w:rsidRPr="002577A0" w:rsidRDefault="00F004B5" w:rsidP="00F004B5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="007058CA" w:rsidRPr="002577A0">
        <w:rPr>
          <w:rFonts w:ascii="仿宋_GB2312" w:eastAsia="仿宋_GB2312" w:hAnsi="宋体" w:cs="仿宋_GB2312" w:hint="eastAsia"/>
          <w:sz w:val="32"/>
          <w:szCs w:val="32"/>
        </w:rPr>
        <w:t>取消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该论文作者导师</w:t>
      </w:r>
      <w:r w:rsidR="007058CA" w:rsidRPr="002577A0">
        <w:rPr>
          <w:rFonts w:ascii="仿宋_GB2312" w:eastAsia="仿宋_GB2312" w:hAnsi="宋体" w:cs="仿宋_GB2312" w:hint="eastAsia"/>
          <w:sz w:val="32"/>
          <w:szCs w:val="32"/>
        </w:rPr>
        <w:t>的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导师资格，</w:t>
      </w:r>
      <w:r w:rsidR="007058CA" w:rsidRPr="002577A0">
        <w:rPr>
          <w:rFonts w:ascii="仿宋_GB2312" w:eastAsia="仿宋_GB2312" w:hAnsi="宋体" w:cs="仿宋_GB2312" w:hint="eastAsia"/>
          <w:sz w:val="32"/>
          <w:szCs w:val="32"/>
        </w:rPr>
        <w:t>隔年方可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参加导师资格遴选；当年不得晋职晋级、</w:t>
      </w:r>
      <w:r w:rsidR="00576452" w:rsidRPr="002577A0">
        <w:rPr>
          <w:rFonts w:ascii="仿宋_GB2312" w:eastAsia="仿宋_GB2312" w:hAnsi="宋体" w:cs="仿宋_GB2312" w:hint="eastAsia"/>
          <w:sz w:val="32"/>
          <w:szCs w:val="32"/>
        </w:rPr>
        <w:t>不得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参加各类奖励评选；全校通报</w:t>
      </w:r>
      <w:r w:rsidR="007058CA" w:rsidRPr="002577A0">
        <w:rPr>
          <w:rFonts w:ascii="仿宋_GB2312" w:eastAsia="仿宋_GB2312" w:hAnsi="宋体" w:cs="仿宋_GB2312" w:hint="eastAsia"/>
          <w:sz w:val="32"/>
          <w:szCs w:val="32"/>
        </w:rPr>
        <w:t>批评</w:t>
      </w:r>
      <w:r w:rsidR="0059535C" w:rsidRPr="002577A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54571F" w:rsidRPr="002577A0" w:rsidRDefault="0054571F" w:rsidP="00AD2AE7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（三）</w:t>
      </w:r>
      <w:r w:rsidR="00AD2AE7" w:rsidRPr="002577A0">
        <w:rPr>
          <w:rFonts w:ascii="仿宋_GB2312" w:eastAsia="仿宋_GB2312" w:hAnsi="宋体" w:cs="仿宋_GB2312" w:hint="eastAsia"/>
          <w:sz w:val="32"/>
          <w:szCs w:val="32"/>
        </w:rPr>
        <w:t>取消导师所属学科所在单位当年评优评先资格；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>减少该单位下一年度博士、硕士招生指标各1个</w:t>
      </w:r>
      <w:r w:rsidR="00377D34" w:rsidRPr="002577A0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6267CB" w:rsidRPr="002577A0" w:rsidRDefault="00AD2AE7" w:rsidP="00F004B5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（四）</w:t>
      </w:r>
      <w:r w:rsidR="0054571F" w:rsidRPr="002577A0">
        <w:rPr>
          <w:rFonts w:ascii="仿宋_GB2312" w:eastAsia="仿宋_GB2312" w:hAnsi="宋体" w:cs="仿宋_GB2312" w:hint="eastAsia"/>
          <w:sz w:val="32"/>
          <w:szCs w:val="32"/>
        </w:rPr>
        <w:t>该论文作者的答辩委员会主席3年内不得参加军队学位论文答辩工作，分会主席在校学委会上说明情况。</w:t>
      </w:r>
    </w:p>
    <w:p w:rsidR="00F004B5" w:rsidRPr="002577A0" w:rsidRDefault="00AD2AE7" w:rsidP="00F004B5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（五</w:t>
      </w:r>
      <w:r w:rsidR="009163C8" w:rsidRPr="002577A0">
        <w:rPr>
          <w:rFonts w:ascii="仿宋_GB2312" w:eastAsia="仿宋_GB2312" w:hAnsi="宋体" w:cs="仿宋_GB2312" w:hint="eastAsia"/>
          <w:sz w:val="32"/>
          <w:szCs w:val="32"/>
        </w:rPr>
        <w:t>）</w:t>
      </w:r>
      <w:r w:rsidR="0054571F" w:rsidRPr="002577A0">
        <w:rPr>
          <w:rFonts w:ascii="仿宋_GB2312" w:eastAsia="仿宋_GB2312" w:hAnsi="宋体" w:cs="仿宋_GB2312" w:hint="eastAsia"/>
          <w:sz w:val="32"/>
          <w:szCs w:val="32"/>
        </w:rPr>
        <w:t>累计2人次出现不合格的学位论文作者导师，取消导师资格，且不得再次参加导师遴选。</w:t>
      </w:r>
    </w:p>
    <w:p w:rsidR="00F65E46" w:rsidRPr="002577A0" w:rsidRDefault="00AD2AE7" w:rsidP="006D6E58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仿宋_GB2312" w:eastAsia="仿宋_GB2312" w:hAnsi="宋体" w:cs="仿宋_GB2312" w:hint="eastAsia"/>
          <w:sz w:val="32"/>
          <w:szCs w:val="32"/>
        </w:rPr>
        <w:t>（六</w:t>
      </w:r>
      <w:r w:rsidR="009163C8" w:rsidRPr="002577A0">
        <w:rPr>
          <w:rFonts w:ascii="仿宋_GB2312" w:eastAsia="仿宋_GB2312" w:hAnsi="宋体" w:cs="仿宋_GB2312" w:hint="eastAsia"/>
          <w:sz w:val="32"/>
          <w:szCs w:val="32"/>
        </w:rPr>
        <w:t>）单位</w:t>
      </w:r>
      <w:r w:rsidR="00F004B5" w:rsidRPr="002577A0">
        <w:rPr>
          <w:rFonts w:ascii="仿宋_GB2312" w:eastAsia="仿宋_GB2312" w:hAnsi="宋体" w:cs="仿宋_GB2312" w:hint="eastAsia"/>
          <w:sz w:val="32"/>
          <w:szCs w:val="32"/>
        </w:rPr>
        <w:t>连续2年出现</w:t>
      </w:r>
      <w:r w:rsidR="006267CB" w:rsidRPr="002577A0">
        <w:rPr>
          <w:rFonts w:ascii="仿宋_GB2312" w:eastAsia="仿宋_GB2312" w:hAnsi="宋体" w:cs="仿宋_GB2312" w:hint="eastAsia"/>
          <w:sz w:val="32"/>
          <w:szCs w:val="32"/>
        </w:rPr>
        <w:t>不合格论文</w:t>
      </w:r>
      <w:r w:rsidR="00F004B5" w:rsidRPr="002577A0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234FB4" w:rsidRPr="002577A0">
        <w:rPr>
          <w:rFonts w:ascii="仿宋_GB2312" w:eastAsia="仿宋_GB2312" w:hAnsi="宋体" w:cs="仿宋_GB2312" w:hint="eastAsia"/>
          <w:sz w:val="32"/>
          <w:szCs w:val="32"/>
        </w:rPr>
        <w:t>对导师所属学科所在单位主官进行</w:t>
      </w:r>
      <w:r w:rsidR="002E51F8" w:rsidRPr="002577A0">
        <w:rPr>
          <w:rFonts w:ascii="仿宋_GB2312" w:eastAsia="仿宋_GB2312" w:hAnsi="宋体" w:cs="仿宋_GB2312" w:hint="eastAsia"/>
          <w:sz w:val="32"/>
          <w:szCs w:val="32"/>
        </w:rPr>
        <w:t>约谈</w:t>
      </w:r>
      <w:r w:rsidR="00234FB4" w:rsidRPr="002577A0">
        <w:rPr>
          <w:rFonts w:ascii="仿宋_GB2312" w:eastAsia="仿宋_GB2312" w:hAnsi="宋体" w:cs="仿宋_GB2312" w:hint="eastAsia"/>
          <w:sz w:val="32"/>
          <w:szCs w:val="32"/>
        </w:rPr>
        <w:t>，该单位在研究生教育工作例会上做检查，该单位党委向学校党委作书面检查。</w:t>
      </w:r>
    </w:p>
    <w:p w:rsidR="00492DAE" w:rsidRPr="002577A0" w:rsidRDefault="001B4D25" w:rsidP="004D4E33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763273" w:rsidRPr="002577A0">
        <w:rPr>
          <w:rFonts w:ascii="楷体_GB2312" w:eastAsia="楷体_GB2312" w:hAnsi="宋体" w:hint="eastAsia"/>
          <w:bCs/>
          <w:sz w:val="32"/>
          <w:szCs w:val="32"/>
        </w:rPr>
        <w:t>二十八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抽查中发现学位论文存在舞弊作伪（抄袭和剽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lastRenderedPageBreak/>
        <w:t>窃他人成果、造假）等严重违反学术道德行为的，除按“不合格”学位论文的有关规定处理外，还要按照国家和军队有关规定进行相应处理。</w:t>
      </w:r>
    </w:p>
    <w:p w:rsidR="001B4D25" w:rsidRPr="002577A0" w:rsidRDefault="00492DAE" w:rsidP="00DC45EC">
      <w:pPr>
        <w:pStyle w:val="3"/>
        <w:overflowPunct w:val="0"/>
        <w:spacing w:beforeLines="50" w:before="156" w:afterLines="50" w:after="156" w:line="560" w:lineRule="exact"/>
        <w:ind w:firstLineChars="0" w:firstLine="0"/>
        <w:jc w:val="center"/>
        <w:outlineLvl w:val="9"/>
        <w:rPr>
          <w:rFonts w:ascii="黑体" w:hAnsi="黑体"/>
          <w:sz w:val="32"/>
          <w:szCs w:val="32"/>
        </w:rPr>
      </w:pPr>
      <w:r w:rsidRPr="002577A0">
        <w:rPr>
          <w:rFonts w:ascii="黑体" w:hAnsi="黑体" w:hint="eastAsia"/>
          <w:sz w:val="32"/>
          <w:szCs w:val="32"/>
        </w:rPr>
        <w:t>第五</w:t>
      </w:r>
      <w:r w:rsidR="001B4D25" w:rsidRPr="002577A0">
        <w:rPr>
          <w:rFonts w:ascii="黑体" w:hAnsi="黑体" w:hint="eastAsia"/>
          <w:sz w:val="32"/>
          <w:szCs w:val="32"/>
        </w:rPr>
        <w:t>章 附  则</w:t>
      </w:r>
    </w:p>
    <w:p w:rsidR="00EC6F2E" w:rsidRPr="002577A0" w:rsidRDefault="001B4D25" w:rsidP="004E40D2">
      <w:pPr>
        <w:overflowPunct w:val="0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2577A0">
        <w:rPr>
          <w:rFonts w:ascii="楷体_GB2312" w:eastAsia="楷体_GB2312" w:hAnsi="宋体" w:hint="eastAsia"/>
          <w:bCs/>
          <w:sz w:val="32"/>
          <w:szCs w:val="32"/>
        </w:rPr>
        <w:t>第</w:t>
      </w:r>
      <w:r w:rsidR="00763273" w:rsidRPr="002577A0">
        <w:rPr>
          <w:rFonts w:ascii="楷体_GB2312" w:eastAsia="楷体_GB2312" w:hAnsi="宋体" w:hint="eastAsia"/>
          <w:bCs/>
          <w:sz w:val="32"/>
          <w:szCs w:val="32"/>
        </w:rPr>
        <w:t>二十九</w:t>
      </w:r>
      <w:r w:rsidRPr="002577A0">
        <w:rPr>
          <w:rFonts w:ascii="楷体_GB2312" w:eastAsia="楷体_GB2312" w:hAnsi="宋体" w:hint="eastAsia"/>
          <w:bCs/>
          <w:sz w:val="32"/>
          <w:szCs w:val="32"/>
        </w:rPr>
        <w:t>条</w:t>
      </w:r>
      <w:r w:rsidRPr="002577A0">
        <w:rPr>
          <w:rFonts w:ascii="仿宋_GB2312" w:eastAsia="仿宋_GB2312" w:hAnsi="宋体" w:cs="仿宋_GB2312" w:hint="eastAsia"/>
          <w:sz w:val="32"/>
          <w:szCs w:val="32"/>
        </w:rPr>
        <w:t xml:space="preserve">  本办法自公布之日起执行，由研究生院负责解释。</w:t>
      </w:r>
      <w:bookmarkStart w:id="6" w:name="_GoBack"/>
      <w:bookmarkEnd w:id="6"/>
    </w:p>
    <w:sectPr w:rsidR="00EC6F2E" w:rsidRPr="002577A0" w:rsidSect="0034079F"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EC" w:rsidRDefault="003452EC" w:rsidP="001B4D25">
      <w:r>
        <w:separator/>
      </w:r>
    </w:p>
  </w:endnote>
  <w:endnote w:type="continuationSeparator" w:id="0">
    <w:p w:rsidR="003452EC" w:rsidRDefault="003452EC" w:rsidP="001B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44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4079F" w:rsidRPr="0034079F" w:rsidRDefault="00E06F36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34079F">
          <w:rPr>
            <w:rFonts w:asciiTheme="minorEastAsia" w:hAnsiTheme="minorEastAsia"/>
            <w:sz w:val="28"/>
            <w:szCs w:val="28"/>
          </w:rPr>
          <w:fldChar w:fldCharType="begin"/>
        </w:r>
        <w:r w:rsidR="0034079F" w:rsidRPr="0034079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4079F">
          <w:rPr>
            <w:rFonts w:asciiTheme="minorEastAsia" w:hAnsiTheme="minorEastAsia"/>
            <w:sz w:val="28"/>
            <w:szCs w:val="28"/>
          </w:rPr>
          <w:fldChar w:fldCharType="separate"/>
        </w:r>
        <w:r w:rsidR="002577A0" w:rsidRPr="002577A0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4079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4079F" w:rsidRDefault="003407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EC" w:rsidRDefault="003452EC" w:rsidP="001B4D25">
      <w:r>
        <w:separator/>
      </w:r>
    </w:p>
  </w:footnote>
  <w:footnote w:type="continuationSeparator" w:id="0">
    <w:p w:rsidR="003452EC" w:rsidRDefault="003452EC" w:rsidP="001B4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61F"/>
    <w:rsid w:val="000058C5"/>
    <w:rsid w:val="00005B2A"/>
    <w:rsid w:val="00032597"/>
    <w:rsid w:val="00042400"/>
    <w:rsid w:val="00042B70"/>
    <w:rsid w:val="000520A2"/>
    <w:rsid w:val="000B1AB1"/>
    <w:rsid w:val="000E4EC5"/>
    <w:rsid w:val="00136075"/>
    <w:rsid w:val="00154C91"/>
    <w:rsid w:val="00173150"/>
    <w:rsid w:val="00183800"/>
    <w:rsid w:val="001B4D25"/>
    <w:rsid w:val="001C23FF"/>
    <w:rsid w:val="001F5224"/>
    <w:rsid w:val="002176D1"/>
    <w:rsid w:val="00234FB4"/>
    <w:rsid w:val="00254A58"/>
    <w:rsid w:val="002577A0"/>
    <w:rsid w:val="00267D27"/>
    <w:rsid w:val="002E51F8"/>
    <w:rsid w:val="002E5CB5"/>
    <w:rsid w:val="002F2A06"/>
    <w:rsid w:val="0034079F"/>
    <w:rsid w:val="003414DF"/>
    <w:rsid w:val="003452EC"/>
    <w:rsid w:val="00350246"/>
    <w:rsid w:val="00377D34"/>
    <w:rsid w:val="00386BA2"/>
    <w:rsid w:val="003A62D2"/>
    <w:rsid w:val="003C30B8"/>
    <w:rsid w:val="003D311C"/>
    <w:rsid w:val="004856A6"/>
    <w:rsid w:val="0048784D"/>
    <w:rsid w:val="00492DAE"/>
    <w:rsid w:val="0049773E"/>
    <w:rsid w:val="004A3F14"/>
    <w:rsid w:val="004B5A9C"/>
    <w:rsid w:val="004C16B5"/>
    <w:rsid w:val="004C409C"/>
    <w:rsid w:val="004D4E33"/>
    <w:rsid w:val="004E1A83"/>
    <w:rsid w:val="004E40D2"/>
    <w:rsid w:val="0051435C"/>
    <w:rsid w:val="005245BC"/>
    <w:rsid w:val="0054571F"/>
    <w:rsid w:val="00556E84"/>
    <w:rsid w:val="00557665"/>
    <w:rsid w:val="00576452"/>
    <w:rsid w:val="005918B3"/>
    <w:rsid w:val="00592A46"/>
    <w:rsid w:val="005948A0"/>
    <w:rsid w:val="0059535C"/>
    <w:rsid w:val="005F3FA6"/>
    <w:rsid w:val="006267CB"/>
    <w:rsid w:val="00626FE0"/>
    <w:rsid w:val="00655B2C"/>
    <w:rsid w:val="00662D1E"/>
    <w:rsid w:val="006835E1"/>
    <w:rsid w:val="00686023"/>
    <w:rsid w:val="006B1E11"/>
    <w:rsid w:val="006C70E6"/>
    <w:rsid w:val="006D6E58"/>
    <w:rsid w:val="006E550D"/>
    <w:rsid w:val="006F2AB6"/>
    <w:rsid w:val="007058CA"/>
    <w:rsid w:val="00763273"/>
    <w:rsid w:val="007842ED"/>
    <w:rsid w:val="00793FAD"/>
    <w:rsid w:val="007D74B5"/>
    <w:rsid w:val="007E6315"/>
    <w:rsid w:val="007F00F6"/>
    <w:rsid w:val="00803273"/>
    <w:rsid w:val="00825993"/>
    <w:rsid w:val="00837300"/>
    <w:rsid w:val="00844080"/>
    <w:rsid w:val="00853B1C"/>
    <w:rsid w:val="008634FE"/>
    <w:rsid w:val="008726D4"/>
    <w:rsid w:val="008D5727"/>
    <w:rsid w:val="008E5396"/>
    <w:rsid w:val="0090306E"/>
    <w:rsid w:val="009163C8"/>
    <w:rsid w:val="00921098"/>
    <w:rsid w:val="00976F6C"/>
    <w:rsid w:val="00994A78"/>
    <w:rsid w:val="00A01EEA"/>
    <w:rsid w:val="00A40BD7"/>
    <w:rsid w:val="00A7383C"/>
    <w:rsid w:val="00A73A76"/>
    <w:rsid w:val="00A836EA"/>
    <w:rsid w:val="00AD2AE7"/>
    <w:rsid w:val="00B03275"/>
    <w:rsid w:val="00B1238B"/>
    <w:rsid w:val="00B316D4"/>
    <w:rsid w:val="00B33199"/>
    <w:rsid w:val="00B33B23"/>
    <w:rsid w:val="00B528CB"/>
    <w:rsid w:val="00B969F6"/>
    <w:rsid w:val="00BA3FB3"/>
    <w:rsid w:val="00BD4053"/>
    <w:rsid w:val="00BF435D"/>
    <w:rsid w:val="00C01F53"/>
    <w:rsid w:val="00C574E6"/>
    <w:rsid w:val="00C61DDD"/>
    <w:rsid w:val="00C6261F"/>
    <w:rsid w:val="00C6539B"/>
    <w:rsid w:val="00D02CF1"/>
    <w:rsid w:val="00D5224A"/>
    <w:rsid w:val="00D640D2"/>
    <w:rsid w:val="00D8798F"/>
    <w:rsid w:val="00D87E58"/>
    <w:rsid w:val="00D9471C"/>
    <w:rsid w:val="00D96AED"/>
    <w:rsid w:val="00DB3773"/>
    <w:rsid w:val="00DC45EC"/>
    <w:rsid w:val="00DD5BBF"/>
    <w:rsid w:val="00DD6BFC"/>
    <w:rsid w:val="00DE18C4"/>
    <w:rsid w:val="00DE40B1"/>
    <w:rsid w:val="00E06F36"/>
    <w:rsid w:val="00EB0A18"/>
    <w:rsid w:val="00EC6F2E"/>
    <w:rsid w:val="00ED0C0C"/>
    <w:rsid w:val="00ED67D9"/>
    <w:rsid w:val="00F004B5"/>
    <w:rsid w:val="00F45CB8"/>
    <w:rsid w:val="00F5275E"/>
    <w:rsid w:val="00F53F58"/>
    <w:rsid w:val="00F65E46"/>
    <w:rsid w:val="00F74ECB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D25"/>
    <w:rPr>
      <w:sz w:val="18"/>
      <w:szCs w:val="18"/>
    </w:rPr>
  </w:style>
  <w:style w:type="paragraph" w:customStyle="1" w:styleId="1">
    <w:name w:val="汇总 标题1"/>
    <w:basedOn w:val="a"/>
    <w:link w:val="1Char"/>
    <w:rsid w:val="001B4D25"/>
    <w:pPr>
      <w:snapToGrid w:val="0"/>
      <w:jc w:val="center"/>
      <w:outlineLvl w:val="1"/>
    </w:pPr>
    <w:rPr>
      <w:rFonts w:ascii="黑体" w:eastAsia="黑体" w:hAnsi="黑体"/>
      <w:bCs/>
      <w:kern w:val="0"/>
      <w:sz w:val="36"/>
      <w:szCs w:val="36"/>
    </w:rPr>
  </w:style>
  <w:style w:type="paragraph" w:customStyle="1" w:styleId="3">
    <w:name w:val="汇总 标题3"/>
    <w:basedOn w:val="a"/>
    <w:link w:val="3CharChar"/>
    <w:rsid w:val="001B4D25"/>
    <w:pPr>
      <w:spacing w:beforeLines="25" w:line="360" w:lineRule="exact"/>
      <w:ind w:firstLineChars="200" w:firstLine="200"/>
      <w:outlineLvl w:val="3"/>
    </w:pPr>
    <w:rPr>
      <w:rFonts w:ascii="Times New Roman" w:eastAsia="黑体" w:hAnsi="Times New Roman"/>
      <w:color w:val="000000"/>
      <w:kern w:val="0"/>
      <w:sz w:val="24"/>
      <w:szCs w:val="24"/>
    </w:rPr>
  </w:style>
  <w:style w:type="character" w:customStyle="1" w:styleId="3CharChar">
    <w:name w:val="汇总 标题3 Char Char"/>
    <w:link w:val="3"/>
    <w:rsid w:val="001B4D25"/>
    <w:rPr>
      <w:rFonts w:ascii="Times New Roman" w:eastAsia="黑体" w:hAnsi="Times New Roman" w:cs="Times New Roman"/>
      <w:color w:val="000000"/>
      <w:kern w:val="0"/>
      <w:sz w:val="24"/>
      <w:szCs w:val="24"/>
    </w:rPr>
  </w:style>
  <w:style w:type="character" w:customStyle="1" w:styleId="1Char">
    <w:name w:val="汇总 标题1 Char"/>
    <w:link w:val="1"/>
    <w:rsid w:val="001B4D25"/>
    <w:rPr>
      <w:rFonts w:ascii="黑体" w:eastAsia="黑体" w:hAnsi="黑体" w:cs="Times New Roman"/>
      <w:bCs/>
      <w:kern w:val="0"/>
      <w:sz w:val="36"/>
      <w:szCs w:val="36"/>
    </w:rPr>
  </w:style>
  <w:style w:type="character" w:styleId="a5">
    <w:name w:val="annotation reference"/>
    <w:basedOn w:val="a0"/>
    <w:uiPriority w:val="99"/>
    <w:semiHidden/>
    <w:unhideWhenUsed/>
    <w:rsid w:val="00042B7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42B7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42B7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42B7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42B7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42B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42B7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D25"/>
    <w:rPr>
      <w:sz w:val="18"/>
      <w:szCs w:val="18"/>
    </w:rPr>
  </w:style>
  <w:style w:type="paragraph" w:customStyle="1" w:styleId="1">
    <w:name w:val="汇总 标题1"/>
    <w:basedOn w:val="a"/>
    <w:link w:val="1Char"/>
    <w:rsid w:val="001B4D25"/>
    <w:pPr>
      <w:snapToGrid w:val="0"/>
      <w:jc w:val="center"/>
      <w:outlineLvl w:val="1"/>
    </w:pPr>
    <w:rPr>
      <w:rFonts w:ascii="黑体" w:eastAsia="黑体" w:hAnsi="黑体"/>
      <w:bCs/>
      <w:kern w:val="0"/>
      <w:sz w:val="36"/>
      <w:szCs w:val="36"/>
      <w:lang w:val="x-none" w:eastAsia="x-none"/>
    </w:rPr>
  </w:style>
  <w:style w:type="paragraph" w:customStyle="1" w:styleId="3">
    <w:name w:val="汇总 标题3"/>
    <w:basedOn w:val="a"/>
    <w:link w:val="3CharChar"/>
    <w:rsid w:val="001B4D25"/>
    <w:pPr>
      <w:spacing w:beforeLines="25" w:line="360" w:lineRule="exact"/>
      <w:ind w:firstLineChars="200" w:firstLine="200"/>
      <w:outlineLvl w:val="3"/>
    </w:pPr>
    <w:rPr>
      <w:rFonts w:ascii="Times New Roman" w:eastAsia="黑体" w:hAnsi="Times New Roman"/>
      <w:color w:val="000000"/>
      <w:kern w:val="0"/>
      <w:sz w:val="24"/>
      <w:szCs w:val="24"/>
      <w:lang w:val="x-none" w:eastAsia="x-none"/>
    </w:rPr>
  </w:style>
  <w:style w:type="character" w:customStyle="1" w:styleId="3CharChar">
    <w:name w:val="汇总 标题3 Char Char"/>
    <w:link w:val="3"/>
    <w:rsid w:val="001B4D25"/>
    <w:rPr>
      <w:rFonts w:ascii="Times New Roman" w:eastAsia="黑体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1Char">
    <w:name w:val="汇总 标题1 Char"/>
    <w:link w:val="1"/>
    <w:rsid w:val="001B4D25"/>
    <w:rPr>
      <w:rFonts w:ascii="黑体" w:eastAsia="黑体" w:hAnsi="黑体" w:cs="Times New Roman"/>
      <w:bCs/>
      <w:kern w:val="0"/>
      <w:sz w:val="36"/>
      <w:szCs w:val="36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042B7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42B7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42B7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42B7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42B7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42B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42B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9CC2-C1CB-492F-AD68-08826DD2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339</Words>
  <Characters>1934</Characters>
  <Application>Microsoft Office Word</Application>
  <DocSecurity>0</DocSecurity>
  <Lines>16</Lines>
  <Paragraphs>4</Paragraphs>
  <ScaleCrop>false</ScaleCrop>
  <Company>微软中国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43</cp:revision>
  <cp:lastPrinted>2020-05-25T03:22:00Z</cp:lastPrinted>
  <dcterms:created xsi:type="dcterms:W3CDTF">2020-04-21T01:58:00Z</dcterms:created>
  <dcterms:modified xsi:type="dcterms:W3CDTF">2020-06-01T01:01:00Z</dcterms:modified>
</cp:coreProperties>
</file>