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493291" w:rsidP="006C75FB">
            <w:pPr>
              <w:rPr>
                <w:rFonts w:ascii="宋体" w:hAnsi="宋体"/>
                <w:sz w:val="24"/>
              </w:rPr>
            </w:pPr>
            <w:r w:rsidRPr="00493291">
              <w:rPr>
                <w:rFonts w:ascii="宋体" w:hAnsi="宋体"/>
                <w:sz w:val="24"/>
              </w:rPr>
              <w:t>2020-KJJYDX-1528</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493291" w:rsidP="006C75FB">
            <w:pPr>
              <w:rPr>
                <w:rFonts w:ascii="宋体" w:hAnsi="宋体"/>
                <w:sz w:val="24"/>
              </w:rPr>
            </w:pPr>
            <w:r w:rsidRPr="00493291">
              <w:rPr>
                <w:rFonts w:ascii="宋体" w:hAnsi="宋体" w:hint="eastAsia"/>
                <w:sz w:val="24"/>
              </w:rPr>
              <w:t>全自动组织处理器</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493291" w:rsidP="00E33608">
            <w:pPr>
              <w:jc w:val="center"/>
              <w:rPr>
                <w:rFonts w:ascii="宋体" w:hAnsi="宋体"/>
                <w:sz w:val="24"/>
              </w:rPr>
            </w:pPr>
            <w:r>
              <w:rPr>
                <w:rFonts w:ascii="宋体" w:hAnsi="宋体" w:hint="eastAsia"/>
                <w:sz w:val="24"/>
              </w:rPr>
              <w:t>1台</w:t>
            </w:r>
          </w:p>
        </w:tc>
        <w:tc>
          <w:tcPr>
            <w:tcW w:w="5537" w:type="dxa"/>
            <w:gridSpan w:val="3"/>
            <w:vAlign w:val="center"/>
          </w:tcPr>
          <w:p w:rsidR="006C75FB" w:rsidRPr="00C021A2" w:rsidRDefault="00493291" w:rsidP="006C75FB">
            <w:pPr>
              <w:jc w:val="center"/>
              <w:rPr>
                <w:rFonts w:ascii="宋体" w:hAnsi="宋体"/>
                <w:sz w:val="24"/>
              </w:rPr>
            </w:pPr>
            <w:r>
              <w:rPr>
                <w:rFonts w:ascii="宋体" w:hAnsi="宋体" w:hint="eastAsia"/>
                <w:sz w:val="24"/>
              </w:rPr>
              <w:t>□</w:t>
            </w:r>
            <w:r w:rsidR="006C75FB" w:rsidRPr="00C021A2">
              <w:rPr>
                <w:rFonts w:ascii="宋体" w:hAnsi="宋体" w:hint="eastAsia"/>
                <w:sz w:val="24"/>
              </w:rPr>
              <w:t xml:space="preserve">国产 </w:t>
            </w:r>
            <w:r w:rsidR="006C75FB" w:rsidRPr="00C021A2">
              <w:rPr>
                <w:rFonts w:ascii="宋体" w:hAnsi="宋体"/>
                <w:sz w:val="24"/>
              </w:rPr>
              <w:t xml:space="preserve">  </w:t>
            </w:r>
            <w:r w:rsidR="006C75FB" w:rsidRPr="00C021A2">
              <w:rPr>
                <w:rFonts w:ascii="宋体" w:hAnsi="宋体" w:hint="eastAsia"/>
                <w:sz w:val="24"/>
              </w:rPr>
              <w:sym w:font="Wingdings 2" w:char="F052"/>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493291" w:rsidP="00E33608">
            <w:pPr>
              <w:jc w:val="left"/>
              <w:rPr>
                <w:rFonts w:ascii="宋体" w:hAnsi="宋体"/>
                <w:sz w:val="24"/>
              </w:rPr>
            </w:pPr>
            <w:r>
              <w:rPr>
                <w:rFonts w:ascii="宋体" w:hAnsi="宋体" w:hint="eastAsia"/>
                <w:sz w:val="24"/>
              </w:rPr>
              <w:t>14.5万元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114AEA" w:rsidRPr="00C021A2" w:rsidRDefault="00493291" w:rsidP="00332A64">
            <w:pPr>
              <w:rPr>
                <w:rFonts w:ascii="宋体" w:hAnsi="宋体"/>
                <w:sz w:val="24"/>
              </w:rPr>
            </w:pPr>
            <w:r w:rsidRPr="00493291">
              <w:rPr>
                <w:rFonts w:ascii="宋体" w:hAnsi="宋体" w:hint="eastAsia"/>
                <w:sz w:val="24"/>
              </w:rPr>
              <w:t>用于把组织样品处理成高活性单细胞悬液或组织匀浆。一机两用，既可以高效的将组织处理成高活性的单细胞悬液，也可以将组织处理成组织匀浆。可处理多种组织，制备好的样品可用于细胞分选，细胞培养，流式细胞分析，分子生物学分析等多种不同的实验应用，可同时或分别处理两个相同样品，厂家需对仪器进行免费的程序升级，并提供国际相关实验的最新进展，仪器程序可自定义编辑以及储存。</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493291" w:rsidRPr="00C021A2" w:rsidTr="00911B92">
        <w:trPr>
          <w:trHeight w:val="454"/>
          <w:jc w:val="center"/>
        </w:trPr>
        <w:tc>
          <w:tcPr>
            <w:tcW w:w="1769" w:type="dxa"/>
            <w:gridSpan w:val="2"/>
            <w:vAlign w:val="center"/>
          </w:tcPr>
          <w:p w:rsidR="00493291" w:rsidRPr="00493291" w:rsidRDefault="00493291" w:rsidP="004E5524">
            <w:pPr>
              <w:widowControl/>
              <w:jc w:val="center"/>
              <w:rPr>
                <w:rFonts w:ascii="宋体" w:hAnsi="宋体" w:hint="eastAsia"/>
                <w:sz w:val="24"/>
              </w:rPr>
            </w:pPr>
            <w:r w:rsidRPr="00493291">
              <w:rPr>
                <w:rFonts w:ascii="宋体" w:hAnsi="宋体" w:hint="eastAsia"/>
                <w:sz w:val="24"/>
              </w:rPr>
              <w:t>1</w:t>
            </w:r>
          </w:p>
        </w:tc>
        <w:tc>
          <w:tcPr>
            <w:tcW w:w="4802" w:type="dxa"/>
            <w:gridSpan w:val="4"/>
            <w:vAlign w:val="center"/>
          </w:tcPr>
          <w:p w:rsidR="00493291" w:rsidRPr="00493291" w:rsidRDefault="00493291" w:rsidP="004E5524">
            <w:pPr>
              <w:widowControl/>
              <w:jc w:val="center"/>
              <w:rPr>
                <w:rFonts w:ascii="宋体" w:hAnsi="宋体" w:hint="eastAsia"/>
                <w:sz w:val="24"/>
              </w:rPr>
            </w:pPr>
            <w:r w:rsidRPr="00493291">
              <w:rPr>
                <w:rFonts w:ascii="宋体" w:hAnsi="宋体" w:hint="eastAsia"/>
                <w:sz w:val="24"/>
              </w:rPr>
              <w:t>主机</w:t>
            </w:r>
          </w:p>
        </w:tc>
        <w:tc>
          <w:tcPr>
            <w:tcW w:w="3286" w:type="dxa"/>
            <w:gridSpan w:val="2"/>
            <w:vAlign w:val="center"/>
          </w:tcPr>
          <w:p w:rsidR="00493291" w:rsidRPr="00493291" w:rsidRDefault="00493291" w:rsidP="004E5524">
            <w:pPr>
              <w:widowControl/>
              <w:jc w:val="center"/>
              <w:rPr>
                <w:rFonts w:ascii="宋体" w:hAnsi="宋体" w:hint="eastAsia"/>
                <w:sz w:val="24"/>
              </w:rPr>
            </w:pPr>
            <w:r w:rsidRPr="00493291">
              <w:rPr>
                <w:rFonts w:ascii="宋体" w:hAnsi="宋体" w:hint="eastAsia"/>
                <w:sz w:val="24"/>
              </w:rPr>
              <w:t>1</w:t>
            </w:r>
          </w:p>
        </w:tc>
      </w:tr>
      <w:tr w:rsidR="00493291" w:rsidRPr="00C021A2" w:rsidTr="00911B92">
        <w:trPr>
          <w:trHeight w:val="454"/>
          <w:jc w:val="center"/>
        </w:trPr>
        <w:tc>
          <w:tcPr>
            <w:tcW w:w="1769" w:type="dxa"/>
            <w:gridSpan w:val="2"/>
            <w:vAlign w:val="center"/>
          </w:tcPr>
          <w:p w:rsidR="00493291" w:rsidRPr="00493291" w:rsidRDefault="00493291" w:rsidP="004E5524">
            <w:pPr>
              <w:widowControl/>
              <w:jc w:val="center"/>
              <w:rPr>
                <w:rFonts w:ascii="宋体" w:hAnsi="宋体" w:hint="eastAsia"/>
                <w:sz w:val="24"/>
              </w:rPr>
            </w:pPr>
            <w:r w:rsidRPr="00493291">
              <w:rPr>
                <w:rFonts w:ascii="宋体" w:hAnsi="宋体" w:hint="eastAsia"/>
                <w:sz w:val="24"/>
              </w:rPr>
              <w:t>2</w:t>
            </w:r>
          </w:p>
        </w:tc>
        <w:tc>
          <w:tcPr>
            <w:tcW w:w="4802" w:type="dxa"/>
            <w:gridSpan w:val="4"/>
            <w:vAlign w:val="center"/>
          </w:tcPr>
          <w:p w:rsidR="00493291" w:rsidRPr="00493291" w:rsidRDefault="00493291" w:rsidP="004E5524">
            <w:pPr>
              <w:widowControl/>
              <w:jc w:val="center"/>
              <w:rPr>
                <w:rFonts w:ascii="宋体" w:hAnsi="宋体" w:hint="eastAsia"/>
                <w:sz w:val="24"/>
              </w:rPr>
            </w:pPr>
            <w:r w:rsidRPr="00493291">
              <w:rPr>
                <w:rFonts w:ascii="宋体" w:hAnsi="宋体" w:hint="eastAsia"/>
                <w:sz w:val="24"/>
              </w:rPr>
              <w:t>电源</w:t>
            </w:r>
          </w:p>
        </w:tc>
        <w:tc>
          <w:tcPr>
            <w:tcW w:w="3286" w:type="dxa"/>
            <w:gridSpan w:val="2"/>
            <w:vAlign w:val="center"/>
          </w:tcPr>
          <w:p w:rsidR="00493291" w:rsidRPr="00493291" w:rsidRDefault="00493291" w:rsidP="004E5524">
            <w:pPr>
              <w:widowControl/>
              <w:jc w:val="center"/>
              <w:rPr>
                <w:rFonts w:ascii="宋体" w:hAnsi="宋体" w:hint="eastAsia"/>
                <w:sz w:val="24"/>
              </w:rPr>
            </w:pPr>
            <w:r w:rsidRPr="00493291">
              <w:rPr>
                <w:rFonts w:ascii="宋体" w:hAnsi="宋体" w:hint="eastAsia"/>
                <w:sz w:val="24"/>
              </w:rPr>
              <w:t>1</w:t>
            </w:r>
          </w:p>
        </w:tc>
      </w:tr>
      <w:tr w:rsidR="00493291" w:rsidRPr="00C021A2" w:rsidTr="006C75FB">
        <w:trPr>
          <w:gridAfter w:val="1"/>
          <w:wAfter w:w="9" w:type="dxa"/>
          <w:trHeight w:val="454"/>
          <w:jc w:val="center"/>
        </w:trPr>
        <w:tc>
          <w:tcPr>
            <w:tcW w:w="9848" w:type="dxa"/>
            <w:gridSpan w:val="7"/>
            <w:vAlign w:val="center"/>
          </w:tcPr>
          <w:p w:rsidR="00493291" w:rsidRPr="00C021A2" w:rsidRDefault="00493291" w:rsidP="006C75FB">
            <w:pPr>
              <w:jc w:val="center"/>
              <w:rPr>
                <w:rFonts w:ascii="宋体" w:hAnsi="宋体" w:cs="仿宋"/>
                <w:sz w:val="24"/>
              </w:rPr>
            </w:pPr>
            <w:r w:rsidRPr="00C021A2">
              <w:rPr>
                <w:rFonts w:ascii="宋体" w:hAnsi="宋体" w:cs="仿宋" w:hint="eastAsia"/>
                <w:b/>
                <w:sz w:val="24"/>
              </w:rPr>
              <w:t>技术参数要求</w:t>
            </w:r>
          </w:p>
        </w:tc>
      </w:tr>
      <w:tr w:rsidR="00493291" w:rsidRPr="00C021A2" w:rsidTr="008564A1">
        <w:trPr>
          <w:gridAfter w:val="1"/>
          <w:wAfter w:w="9" w:type="dxa"/>
          <w:trHeight w:val="454"/>
          <w:jc w:val="center"/>
        </w:trPr>
        <w:tc>
          <w:tcPr>
            <w:tcW w:w="1244" w:type="dxa"/>
            <w:vAlign w:val="center"/>
          </w:tcPr>
          <w:p w:rsidR="00493291" w:rsidRPr="00C021A2" w:rsidRDefault="00493291"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493291" w:rsidRPr="00C021A2" w:rsidRDefault="00493291"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493291" w:rsidRPr="00C021A2" w:rsidRDefault="00493291" w:rsidP="006C75FB">
            <w:pPr>
              <w:jc w:val="center"/>
              <w:rPr>
                <w:rFonts w:ascii="宋体" w:hAnsi="宋体" w:cs="仿宋"/>
                <w:sz w:val="24"/>
              </w:rPr>
            </w:pPr>
            <w:r w:rsidRPr="00C021A2">
              <w:rPr>
                <w:rFonts w:ascii="宋体" w:hAnsi="宋体" w:cs="仿宋" w:hint="eastAsia"/>
                <w:sz w:val="24"/>
              </w:rPr>
              <w:t>技术参数</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1</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★主机要求</w:t>
            </w:r>
          </w:p>
        </w:tc>
        <w:tc>
          <w:tcPr>
            <w:tcW w:w="6095" w:type="dxa"/>
            <w:gridSpan w:val="3"/>
            <w:vAlign w:val="center"/>
          </w:tcPr>
          <w:p w:rsidR="00493291" w:rsidRPr="00493291" w:rsidRDefault="00493291" w:rsidP="004E5524">
            <w:pPr>
              <w:jc w:val="left"/>
              <w:rPr>
                <w:rFonts w:ascii="宋体" w:hAnsi="宋体" w:cs="仿宋"/>
                <w:sz w:val="24"/>
              </w:rPr>
            </w:pPr>
            <w:r w:rsidRPr="00493291">
              <w:rPr>
                <w:rFonts w:ascii="宋体" w:hAnsi="宋体" w:cs="仿宋" w:hint="eastAsia"/>
                <w:sz w:val="24"/>
              </w:rPr>
              <w:t>匹配2个独立通道，可以把组织样品处理成高活性单细胞悬液或组织匀浆</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2</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★处理样本类型</w:t>
            </w:r>
          </w:p>
        </w:tc>
        <w:tc>
          <w:tcPr>
            <w:tcW w:w="6095" w:type="dxa"/>
            <w:gridSpan w:val="3"/>
            <w:vAlign w:val="center"/>
          </w:tcPr>
          <w:p w:rsidR="00493291" w:rsidRPr="00493291" w:rsidRDefault="00493291" w:rsidP="004E5524">
            <w:pPr>
              <w:jc w:val="left"/>
              <w:rPr>
                <w:rFonts w:ascii="宋体" w:hAnsi="宋体" w:cs="仿宋"/>
                <w:sz w:val="24"/>
              </w:rPr>
            </w:pPr>
            <w:r w:rsidRPr="00493291">
              <w:rPr>
                <w:rFonts w:ascii="宋体" w:hAnsi="宋体" w:cs="仿宋" w:hint="eastAsia"/>
                <w:sz w:val="24"/>
              </w:rPr>
              <w:t>仪器可以处理多种不同的组织，包括人肿瘤、脐带、皮肤等组织，以及小鼠肿瘤、脾脏、肝脏、肺脏、神经组织、皮肤、肌肉组织等。</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3</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＃样本容量</w:t>
            </w:r>
          </w:p>
        </w:tc>
        <w:tc>
          <w:tcPr>
            <w:tcW w:w="6095" w:type="dxa"/>
            <w:gridSpan w:val="3"/>
            <w:vAlign w:val="center"/>
          </w:tcPr>
          <w:p w:rsidR="00493291" w:rsidRPr="00493291" w:rsidRDefault="00493291" w:rsidP="00493291">
            <w:pPr>
              <w:jc w:val="left"/>
              <w:rPr>
                <w:rFonts w:ascii="宋体" w:hAnsi="宋体" w:cs="仿宋"/>
                <w:sz w:val="24"/>
              </w:rPr>
            </w:pPr>
            <w:r w:rsidRPr="00493291">
              <w:rPr>
                <w:rFonts w:ascii="宋体" w:hAnsi="宋体" w:cs="仿宋" w:hint="eastAsia"/>
                <w:sz w:val="24"/>
              </w:rPr>
              <w:t>0.3-10ml</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4</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★样本要求</w:t>
            </w:r>
          </w:p>
        </w:tc>
        <w:tc>
          <w:tcPr>
            <w:tcW w:w="6095" w:type="dxa"/>
            <w:gridSpan w:val="3"/>
            <w:vAlign w:val="center"/>
          </w:tcPr>
          <w:p w:rsidR="00493291" w:rsidRPr="00493291" w:rsidRDefault="00493291" w:rsidP="00493291">
            <w:pPr>
              <w:jc w:val="left"/>
              <w:rPr>
                <w:rFonts w:ascii="宋体" w:hAnsi="宋体" w:cs="仿宋"/>
                <w:sz w:val="24"/>
              </w:rPr>
            </w:pPr>
            <w:r w:rsidRPr="00493291">
              <w:rPr>
                <w:rFonts w:ascii="宋体" w:hAnsi="宋体" w:cs="仿宋" w:hint="eastAsia"/>
                <w:sz w:val="24"/>
              </w:rPr>
              <w:t>仪器必须满足无菌操作要求，如有试剂耗材必须无菌满足新鲜组织和冰冻组织制备组织匀浆的功能，制备出的组织匀浆可以用于蛋白提取、分析、等应用，也可以满足mRNA提取和cDNA合成，纯化和分选等后续应用</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5</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＃样本重量</w:t>
            </w:r>
          </w:p>
        </w:tc>
        <w:tc>
          <w:tcPr>
            <w:tcW w:w="6095" w:type="dxa"/>
            <w:gridSpan w:val="3"/>
            <w:vAlign w:val="center"/>
          </w:tcPr>
          <w:p w:rsidR="00493291" w:rsidRPr="00493291" w:rsidRDefault="00493291" w:rsidP="00493291">
            <w:pPr>
              <w:jc w:val="left"/>
              <w:rPr>
                <w:rFonts w:ascii="宋体" w:hAnsi="宋体" w:cs="仿宋"/>
                <w:sz w:val="24"/>
              </w:rPr>
            </w:pPr>
            <w:r w:rsidRPr="00493291">
              <w:rPr>
                <w:rFonts w:ascii="宋体" w:hAnsi="宋体" w:cs="仿宋" w:hint="eastAsia"/>
                <w:sz w:val="24"/>
              </w:rPr>
              <w:t>20mg-4g</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6</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仪器操作</w:t>
            </w:r>
          </w:p>
        </w:tc>
        <w:tc>
          <w:tcPr>
            <w:tcW w:w="6095" w:type="dxa"/>
            <w:gridSpan w:val="3"/>
            <w:vAlign w:val="center"/>
          </w:tcPr>
          <w:p w:rsidR="00493291" w:rsidRPr="00493291" w:rsidRDefault="00493291" w:rsidP="004E5524">
            <w:pPr>
              <w:jc w:val="left"/>
              <w:rPr>
                <w:rFonts w:ascii="宋体" w:hAnsi="宋体" w:cs="仿宋"/>
                <w:sz w:val="24"/>
              </w:rPr>
            </w:pPr>
            <w:r w:rsidRPr="00493291">
              <w:rPr>
                <w:rFonts w:ascii="宋体" w:hAnsi="宋体" w:cs="仿宋" w:hint="eastAsia"/>
                <w:sz w:val="24"/>
              </w:rPr>
              <w:t>仪器可以处理编程优化方案，并且可以保存方案便于后续使用。</w:t>
            </w:r>
          </w:p>
        </w:tc>
      </w:tr>
      <w:tr w:rsidR="00493291" w:rsidRPr="00C021A2" w:rsidTr="008564A1">
        <w:trPr>
          <w:gridAfter w:val="1"/>
          <w:wAfter w:w="9" w:type="dxa"/>
          <w:trHeight w:val="454"/>
          <w:jc w:val="center"/>
        </w:trPr>
        <w:tc>
          <w:tcPr>
            <w:tcW w:w="1244" w:type="dxa"/>
            <w:vAlign w:val="center"/>
          </w:tcPr>
          <w:p w:rsidR="00493291" w:rsidRPr="00493291" w:rsidRDefault="00493291" w:rsidP="004E5524">
            <w:pPr>
              <w:jc w:val="center"/>
              <w:rPr>
                <w:rFonts w:ascii="宋体" w:hAnsi="宋体" w:cs="仿宋" w:hint="eastAsia"/>
                <w:sz w:val="24"/>
              </w:rPr>
            </w:pPr>
            <w:r w:rsidRPr="00493291">
              <w:rPr>
                <w:rFonts w:ascii="宋体" w:hAnsi="宋体" w:cs="仿宋" w:hint="eastAsia"/>
                <w:sz w:val="24"/>
              </w:rPr>
              <w:t>7</w:t>
            </w:r>
          </w:p>
        </w:tc>
        <w:tc>
          <w:tcPr>
            <w:tcW w:w="2509" w:type="dxa"/>
            <w:gridSpan w:val="3"/>
            <w:vAlign w:val="center"/>
          </w:tcPr>
          <w:p w:rsidR="00493291" w:rsidRPr="00493291" w:rsidRDefault="00493291" w:rsidP="004E5524">
            <w:pPr>
              <w:jc w:val="center"/>
              <w:rPr>
                <w:rFonts w:ascii="宋体" w:hAnsi="宋体" w:cs="仿宋"/>
                <w:sz w:val="24"/>
              </w:rPr>
            </w:pPr>
            <w:r w:rsidRPr="00493291">
              <w:rPr>
                <w:rFonts w:ascii="宋体" w:hAnsi="宋体" w:cs="仿宋" w:hint="eastAsia"/>
                <w:sz w:val="24"/>
              </w:rPr>
              <w:t>售后</w:t>
            </w:r>
          </w:p>
        </w:tc>
        <w:tc>
          <w:tcPr>
            <w:tcW w:w="6095" w:type="dxa"/>
            <w:gridSpan w:val="3"/>
            <w:vAlign w:val="center"/>
          </w:tcPr>
          <w:p w:rsidR="00493291" w:rsidRPr="00493291" w:rsidRDefault="00493291" w:rsidP="004E5524">
            <w:pPr>
              <w:jc w:val="left"/>
              <w:rPr>
                <w:rFonts w:ascii="宋体" w:hAnsi="宋体" w:cs="仿宋"/>
                <w:sz w:val="24"/>
              </w:rPr>
            </w:pPr>
            <w:r w:rsidRPr="00493291">
              <w:rPr>
                <w:rFonts w:ascii="宋体" w:hAnsi="宋体" w:cs="仿宋" w:hint="eastAsia"/>
                <w:sz w:val="24"/>
              </w:rPr>
              <w:t>厂家可对仪器进行免费的程序升级，并提供国际相关实验的最新进展</w:t>
            </w:r>
          </w:p>
        </w:tc>
      </w:tr>
    </w:tbl>
    <w:p w:rsidR="006C75FB" w:rsidRPr="00C021A2" w:rsidRDefault="00C021A2" w:rsidP="006C75FB">
      <w:pPr>
        <w:widowControl/>
        <w:jc w:val="left"/>
        <w:rPr>
          <w:rFonts w:asciiTheme="minorEastAsia" w:eastAsiaTheme="minorEastAsia" w:hAnsiTheme="minorEastAsia"/>
          <w:sz w:val="24"/>
        </w:rPr>
      </w:pPr>
      <w:bookmarkStart w:id="0" w:name="_Hlk50096648"/>
      <w:r w:rsidRPr="00C021A2">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w:t>
      </w:r>
      <w:r w:rsidRPr="00C021A2">
        <w:rPr>
          <w:rFonts w:ascii="宋体" w:hAnsi="宋体" w:hint="eastAsia"/>
          <w:sz w:val="24"/>
        </w:rPr>
        <w:lastRenderedPageBreak/>
        <w:t>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0"/>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D8C" w:rsidRDefault="00486D8C" w:rsidP="0091323C">
      <w:r>
        <w:separator/>
      </w:r>
    </w:p>
  </w:endnote>
  <w:endnote w:type="continuationSeparator" w:id="1">
    <w:p w:rsidR="00486D8C" w:rsidRDefault="00486D8C" w:rsidP="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D8C" w:rsidRDefault="00486D8C" w:rsidP="0091323C">
      <w:r>
        <w:separator/>
      </w:r>
    </w:p>
  </w:footnote>
  <w:footnote w:type="continuationSeparator" w:id="1">
    <w:p w:rsidR="00486D8C" w:rsidRDefault="00486D8C" w:rsidP="00913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2D2FAD"/>
    <w:multiLevelType w:val="singleLevel"/>
    <w:tmpl w:val="0A2D2FAD"/>
    <w:lvl w:ilvl="0">
      <w:start w:val="1"/>
      <w:numFmt w:val="decimal"/>
      <w:suff w:val="nothing"/>
      <w:lvlText w:val="%1）"/>
      <w:lvlJc w:val="left"/>
    </w:lvl>
  </w:abstractNum>
  <w:abstractNum w:abstractNumId="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B3AC83"/>
    <w:multiLevelType w:val="singleLevel"/>
    <w:tmpl w:val="4EB3AC83"/>
    <w:lvl w:ilvl="0">
      <w:start w:val="1"/>
      <w:numFmt w:val="decimal"/>
      <w:lvlText w:val="%1."/>
      <w:lvlJc w:val="left"/>
      <w:pPr>
        <w:tabs>
          <w:tab w:val="num" w:pos="312"/>
        </w:tabs>
      </w:pPr>
    </w:lvl>
  </w:abstractNum>
  <w:abstractNum w:abstractNumId="7">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BD1E8D0"/>
    <w:multiLevelType w:val="singleLevel"/>
    <w:tmpl w:val="5BD1E8D0"/>
    <w:lvl w:ilvl="0">
      <w:start w:val="1"/>
      <w:numFmt w:val="decimal"/>
      <w:lvlText w:val="%1."/>
      <w:lvlJc w:val="left"/>
      <w:pPr>
        <w:tabs>
          <w:tab w:val="num" w:pos="312"/>
        </w:tabs>
      </w:pPr>
    </w:lvl>
  </w:abstractNum>
  <w:abstractNum w:abstractNumId="11">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85100"/>
    <w:rsid w:val="002B40AE"/>
    <w:rsid w:val="002C4BC4"/>
    <w:rsid w:val="003151D7"/>
    <w:rsid w:val="003250CD"/>
    <w:rsid w:val="00332A64"/>
    <w:rsid w:val="00344E7A"/>
    <w:rsid w:val="003526D5"/>
    <w:rsid w:val="00361D23"/>
    <w:rsid w:val="003A3ABE"/>
    <w:rsid w:val="003C1FAC"/>
    <w:rsid w:val="00415F46"/>
    <w:rsid w:val="00472BFD"/>
    <w:rsid w:val="00480E1E"/>
    <w:rsid w:val="00486784"/>
    <w:rsid w:val="00486D8C"/>
    <w:rsid w:val="00493291"/>
    <w:rsid w:val="004A675A"/>
    <w:rsid w:val="004B5D66"/>
    <w:rsid w:val="004C37F8"/>
    <w:rsid w:val="004D21DD"/>
    <w:rsid w:val="004E7B7D"/>
    <w:rsid w:val="00502B07"/>
    <w:rsid w:val="0050461A"/>
    <w:rsid w:val="00540256"/>
    <w:rsid w:val="00560519"/>
    <w:rsid w:val="00576DCF"/>
    <w:rsid w:val="00580FC7"/>
    <w:rsid w:val="00581A2E"/>
    <w:rsid w:val="005C1886"/>
    <w:rsid w:val="00603E75"/>
    <w:rsid w:val="00605788"/>
    <w:rsid w:val="00605842"/>
    <w:rsid w:val="00612084"/>
    <w:rsid w:val="0064153B"/>
    <w:rsid w:val="00644F13"/>
    <w:rsid w:val="006464E9"/>
    <w:rsid w:val="00650CFC"/>
    <w:rsid w:val="00682485"/>
    <w:rsid w:val="006C75FB"/>
    <w:rsid w:val="006D71A6"/>
    <w:rsid w:val="00725A54"/>
    <w:rsid w:val="0073745C"/>
    <w:rsid w:val="0074369E"/>
    <w:rsid w:val="00776C3E"/>
    <w:rsid w:val="00790D63"/>
    <w:rsid w:val="007975BA"/>
    <w:rsid w:val="007C061A"/>
    <w:rsid w:val="007D147D"/>
    <w:rsid w:val="007D37E2"/>
    <w:rsid w:val="007E2DAD"/>
    <w:rsid w:val="008025C6"/>
    <w:rsid w:val="00815EDB"/>
    <w:rsid w:val="00826E11"/>
    <w:rsid w:val="0082728A"/>
    <w:rsid w:val="0083471C"/>
    <w:rsid w:val="008456AC"/>
    <w:rsid w:val="00846B87"/>
    <w:rsid w:val="008564A1"/>
    <w:rsid w:val="00860B28"/>
    <w:rsid w:val="008769A2"/>
    <w:rsid w:val="00891FC3"/>
    <w:rsid w:val="008A4967"/>
    <w:rsid w:val="008A64F5"/>
    <w:rsid w:val="008C5902"/>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05F6"/>
    <w:rsid w:val="00AC2FEC"/>
    <w:rsid w:val="00AD70DA"/>
    <w:rsid w:val="00B22D2F"/>
    <w:rsid w:val="00B4737F"/>
    <w:rsid w:val="00B52870"/>
    <w:rsid w:val="00B57386"/>
    <w:rsid w:val="00B62AD5"/>
    <w:rsid w:val="00B7345A"/>
    <w:rsid w:val="00BA7466"/>
    <w:rsid w:val="00BC19C8"/>
    <w:rsid w:val="00C021A2"/>
    <w:rsid w:val="00C0235F"/>
    <w:rsid w:val="00C20B05"/>
    <w:rsid w:val="00C26053"/>
    <w:rsid w:val="00C451A2"/>
    <w:rsid w:val="00C722B3"/>
    <w:rsid w:val="00C727AC"/>
    <w:rsid w:val="00C77FA6"/>
    <w:rsid w:val="00C91306"/>
    <w:rsid w:val="00CB4529"/>
    <w:rsid w:val="00CC08FC"/>
    <w:rsid w:val="00CF4071"/>
    <w:rsid w:val="00D25455"/>
    <w:rsid w:val="00D379B2"/>
    <w:rsid w:val="00D509BA"/>
    <w:rsid w:val="00D769DA"/>
    <w:rsid w:val="00D844E9"/>
    <w:rsid w:val="00DA3A8B"/>
    <w:rsid w:val="00DC5219"/>
    <w:rsid w:val="00DD7187"/>
    <w:rsid w:val="00E06986"/>
    <w:rsid w:val="00E07EED"/>
    <w:rsid w:val="00E1044C"/>
    <w:rsid w:val="00E33608"/>
    <w:rsid w:val="00E46234"/>
    <w:rsid w:val="00E466E8"/>
    <w:rsid w:val="00E80934"/>
    <w:rsid w:val="00E8381C"/>
    <w:rsid w:val="00EB61E8"/>
    <w:rsid w:val="00EE242E"/>
    <w:rsid w:val="00EE2CE1"/>
    <w:rsid w:val="00EE384E"/>
    <w:rsid w:val="00EF45B8"/>
    <w:rsid w:val="00F1160B"/>
    <w:rsid w:val="00F27A73"/>
    <w:rsid w:val="00F34D60"/>
    <w:rsid w:val="00F35A7B"/>
    <w:rsid w:val="00F705B7"/>
    <w:rsid w:val="00F870C6"/>
    <w:rsid w:val="00FA1361"/>
    <w:rsid w:val="00FA17E7"/>
    <w:rsid w:val="00FA1DCC"/>
    <w:rsid w:val="00FA7DD0"/>
    <w:rsid w:val="00FD101E"/>
    <w:rsid w:val="00FD63B8"/>
    <w:rsid w:val="19A15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Char"/>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913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91323C"/>
    <w:rPr>
      <w:rFonts w:ascii="Times New Roman" w:eastAsia="宋体" w:hAnsi="Times New Roman" w:cs="宋体"/>
      <w:kern w:val="2"/>
      <w:sz w:val="18"/>
      <w:szCs w:val="18"/>
    </w:rPr>
  </w:style>
  <w:style w:type="paragraph" w:styleId="a5">
    <w:name w:val="footer"/>
    <w:basedOn w:val="a"/>
    <w:link w:val="Char0"/>
    <w:rsid w:val="0091323C"/>
    <w:pPr>
      <w:tabs>
        <w:tab w:val="center" w:pos="4153"/>
        <w:tab w:val="right" w:pos="8306"/>
      </w:tabs>
      <w:snapToGrid w:val="0"/>
      <w:jc w:val="left"/>
    </w:pPr>
    <w:rPr>
      <w:sz w:val="18"/>
      <w:szCs w:val="18"/>
    </w:rPr>
  </w:style>
  <w:style w:type="character" w:customStyle="1" w:styleId="Char0">
    <w:name w:val="页脚 Char"/>
    <w:basedOn w:val="a1"/>
    <w:link w:val="a5"/>
    <w:rsid w:val="0091323C"/>
    <w:rPr>
      <w:rFonts w:ascii="Times New Roman" w:eastAsia="宋体" w:hAnsi="Times New Roman" w:cs="宋体"/>
      <w:kern w:val="2"/>
      <w:sz w:val="18"/>
      <w:szCs w:val="18"/>
    </w:rPr>
  </w:style>
  <w:style w:type="character" w:styleId="a6">
    <w:name w:val="annotation reference"/>
    <w:basedOn w:val="a1"/>
    <w:rsid w:val="00E466E8"/>
    <w:rPr>
      <w:sz w:val="21"/>
      <w:szCs w:val="21"/>
    </w:rPr>
  </w:style>
  <w:style w:type="paragraph" w:styleId="a7">
    <w:name w:val="annotation text"/>
    <w:basedOn w:val="a"/>
    <w:link w:val="Char1"/>
    <w:rsid w:val="00E466E8"/>
    <w:pPr>
      <w:jc w:val="left"/>
    </w:pPr>
  </w:style>
  <w:style w:type="character" w:customStyle="1" w:styleId="Char1">
    <w:name w:val="批注文字 Char"/>
    <w:basedOn w:val="a1"/>
    <w:link w:val="a7"/>
    <w:rsid w:val="00E466E8"/>
    <w:rPr>
      <w:rFonts w:ascii="Times New Roman" w:eastAsia="宋体" w:hAnsi="Times New Roman" w:cs="宋体"/>
      <w:kern w:val="2"/>
      <w:sz w:val="21"/>
      <w:szCs w:val="24"/>
    </w:rPr>
  </w:style>
  <w:style w:type="paragraph" w:styleId="a8">
    <w:name w:val="annotation subject"/>
    <w:basedOn w:val="a7"/>
    <w:next w:val="a7"/>
    <w:link w:val="Char2"/>
    <w:rsid w:val="00E466E8"/>
    <w:rPr>
      <w:b/>
      <w:bCs/>
    </w:rPr>
  </w:style>
  <w:style w:type="character" w:customStyle="1" w:styleId="Char2">
    <w:name w:val="批注主题 Char"/>
    <w:basedOn w:val="Char1"/>
    <w:link w:val="a8"/>
    <w:rsid w:val="00E466E8"/>
    <w:rPr>
      <w:rFonts w:ascii="Times New Roman" w:eastAsia="宋体" w:hAnsi="Times New Roman" w:cs="宋体"/>
      <w:b/>
      <w:bCs/>
      <w:kern w:val="2"/>
      <w:sz w:val="21"/>
      <w:szCs w:val="24"/>
    </w:rPr>
  </w:style>
  <w:style w:type="paragraph" w:styleId="a9">
    <w:name w:val="Revision"/>
    <w:hidden/>
    <w:uiPriority w:val="99"/>
    <w:semiHidden/>
    <w:rsid w:val="00E466E8"/>
    <w:rPr>
      <w:rFonts w:ascii="Times New Roman" w:eastAsia="宋体" w:hAnsi="Times New Roman" w:cs="宋体"/>
      <w:kern w:val="2"/>
      <w:sz w:val="21"/>
      <w:szCs w:val="24"/>
    </w:rPr>
  </w:style>
  <w:style w:type="paragraph" w:styleId="aa">
    <w:name w:val="Balloon Text"/>
    <w:basedOn w:val="a"/>
    <w:link w:val="Char3"/>
    <w:rsid w:val="00E466E8"/>
    <w:rPr>
      <w:sz w:val="18"/>
      <w:szCs w:val="18"/>
    </w:rPr>
  </w:style>
  <w:style w:type="character" w:customStyle="1" w:styleId="Char3">
    <w:name w:val="批注框文本 Char"/>
    <w:basedOn w:val="a1"/>
    <w:link w:val="aa"/>
    <w:rsid w:val="00E466E8"/>
    <w:rPr>
      <w:rFonts w:ascii="Times New Roman" w:eastAsia="宋体" w:hAnsi="Times New Roman" w:cs="宋体"/>
      <w:kern w:val="2"/>
      <w:sz w:val="18"/>
      <w:szCs w:val="18"/>
    </w:rPr>
  </w:style>
  <w:style w:type="character" w:customStyle="1" w:styleId="Char4">
    <w:name w:val="纯文本 Char"/>
    <w:link w:val="ab"/>
    <w:rsid w:val="00605842"/>
    <w:rPr>
      <w:rFonts w:ascii="宋体" w:hAnsi="Courier New"/>
      <w:kern w:val="2"/>
      <w:sz w:val="21"/>
    </w:rPr>
  </w:style>
  <w:style w:type="paragraph" w:styleId="ab">
    <w:name w:val="Plain Text"/>
    <w:basedOn w:val="a"/>
    <w:link w:val="Char4"/>
    <w:unhideWhenUsed/>
    <w:rsid w:val="00605842"/>
    <w:rPr>
      <w:rFonts w:ascii="宋体" w:eastAsiaTheme="minorEastAsia" w:hAnsi="Courier New" w:cstheme="minorBidi"/>
      <w:szCs w:val="20"/>
    </w:rPr>
  </w:style>
  <w:style w:type="character" w:customStyle="1" w:styleId="ac">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d">
    <w:name w:val="List Paragraph"/>
    <w:basedOn w:val="a"/>
    <w:uiPriority w:val="34"/>
    <w:qFormat/>
    <w:rsid w:val="007E2DAD"/>
    <w:pPr>
      <w:ind w:firstLineChars="200" w:firstLine="420"/>
    </w:pPr>
    <w:rPr>
      <w:rFonts w:ascii="Calibri" w:hAnsi="Calibri" w:cs="Times New Roman"/>
      <w:szCs w:val="22"/>
    </w:rPr>
  </w:style>
  <w:style w:type="paragraph" w:styleId="ae">
    <w:name w:val="Document Map"/>
    <w:basedOn w:val="a"/>
    <w:link w:val="Char5"/>
    <w:rsid w:val="00A011B6"/>
    <w:rPr>
      <w:rFonts w:ascii="宋体"/>
      <w:sz w:val="18"/>
      <w:szCs w:val="18"/>
    </w:rPr>
  </w:style>
  <w:style w:type="character" w:customStyle="1" w:styleId="Char5">
    <w:name w:val="文档结构图 Char"/>
    <w:basedOn w:val="a1"/>
    <w:link w:val="ae"/>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0">
    <w:name w:val="No Spacing"/>
    <w:uiPriority w:val="1"/>
    <w:qFormat/>
    <w:rsid w:val="00CC08FC"/>
    <w:pPr>
      <w:widowControl w:val="0"/>
      <w:jc w:val="both"/>
    </w:pPr>
    <w:rPr>
      <w:kern w:val="2"/>
      <w:sz w:val="21"/>
      <w:szCs w:val="22"/>
    </w:rPr>
  </w:style>
  <w:style w:type="paragraph" w:customStyle="1" w:styleId="af1">
    <w:basedOn w:val="a"/>
    <w:next w:val="ad"/>
    <w:uiPriority w:val="34"/>
    <w:qFormat/>
    <w:rsid w:val="004E7B7D"/>
    <w:pPr>
      <w:ind w:firstLineChars="200" w:firstLine="420"/>
    </w:pPr>
    <w:rPr>
      <w:rFonts w:cs="Times New Roman"/>
    </w:rPr>
  </w:style>
  <w:style w:type="paragraph" w:styleId="af2">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Char">
    <w:name w:val="标题 3 Char"/>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Char6">
    <w:name w:val="正文文本 Char"/>
    <w:link w:val="af3"/>
    <w:rsid w:val="00332A64"/>
    <w:rPr>
      <w:rFonts w:ascii="宋体"/>
      <w:b/>
      <w:bCs/>
      <w:kern w:val="2"/>
      <w:sz w:val="36"/>
      <w:szCs w:val="24"/>
    </w:rPr>
  </w:style>
  <w:style w:type="paragraph" w:styleId="af3">
    <w:name w:val="Body Text"/>
    <w:basedOn w:val="a"/>
    <w:link w:val="Char6"/>
    <w:rsid w:val="00332A64"/>
    <w:pPr>
      <w:jc w:val="center"/>
    </w:pPr>
    <w:rPr>
      <w:rFonts w:ascii="宋体" w:eastAsiaTheme="minorEastAsia" w:hAnsiTheme="minorHAnsi" w:cstheme="minorBidi"/>
      <w:b/>
      <w:bCs/>
      <w:sz w:val="36"/>
    </w:rPr>
  </w:style>
  <w:style w:type="character" w:customStyle="1" w:styleId="Char10">
    <w:name w:val="正文文本 Char1"/>
    <w:basedOn w:val="a1"/>
    <w:link w:val="af3"/>
    <w:semiHidden/>
    <w:rsid w:val="00332A64"/>
    <w:rPr>
      <w:rFonts w:ascii="Times New Roman" w:eastAsia="宋体" w:hAnsi="Times New Roman" w:cs="宋体"/>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FDF4E4-C2E7-4737-97A3-5F9F00967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15991651641@139.com</cp:lastModifiedBy>
  <cp:revision>79</cp:revision>
  <dcterms:created xsi:type="dcterms:W3CDTF">2019-11-08T04:25:00Z</dcterms:created>
  <dcterms:modified xsi:type="dcterms:W3CDTF">2021-01-25T11:04:00Z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