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FB" w:rsidRPr="00E07EED" w:rsidRDefault="006C75FB" w:rsidP="006C75FB">
      <w:pPr>
        <w:outlineLvl w:val="0"/>
        <w:rPr>
          <w:rFonts w:asciiTheme="minorEastAsia" w:eastAsiaTheme="minorEastAsia" w:hAnsiTheme="minorEastAsia" w:cs="黑体"/>
          <w:snapToGrid w:val="0"/>
          <w:sz w:val="24"/>
        </w:rPr>
      </w:pPr>
      <w:r w:rsidRPr="00E07EED">
        <w:rPr>
          <w:rFonts w:asciiTheme="minorEastAsia" w:eastAsiaTheme="minorEastAsia" w:hAnsiTheme="minorEastAsia" w:cs="黑体" w:hint="eastAsia"/>
          <w:snapToGrid w:val="0"/>
          <w:sz w:val="24"/>
        </w:rPr>
        <w:t>公告附件</w:t>
      </w:r>
      <w:r w:rsidR="00D769DA">
        <w:rPr>
          <w:rFonts w:asciiTheme="minorEastAsia" w:eastAsiaTheme="minorEastAsia" w:hAnsiTheme="minorEastAsia" w:cs="黑体" w:hint="eastAsia"/>
          <w:snapToGrid w:val="0"/>
          <w:sz w:val="24"/>
        </w:rPr>
        <w:t>1</w:t>
      </w:r>
      <w:r w:rsidRPr="00E07EED">
        <w:rPr>
          <w:rFonts w:asciiTheme="minorEastAsia" w:eastAsiaTheme="minorEastAsia" w:hAnsiTheme="minorEastAsia"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4"/>
        <w:gridCol w:w="876"/>
        <w:gridCol w:w="1633"/>
        <w:gridCol w:w="567"/>
        <w:gridCol w:w="5528"/>
        <w:gridCol w:w="9"/>
      </w:tblGrid>
      <w:tr w:rsidR="006C75FB" w:rsidRPr="00C021A2" w:rsidTr="006C75FB">
        <w:trPr>
          <w:trHeight w:val="454"/>
          <w:jc w:val="center"/>
        </w:trPr>
        <w:tc>
          <w:tcPr>
            <w:tcW w:w="2120" w:type="dxa"/>
            <w:gridSpan w:val="2"/>
            <w:vAlign w:val="center"/>
          </w:tcPr>
          <w:p w:rsidR="006C75FB" w:rsidRPr="00C021A2" w:rsidRDefault="006C75FB" w:rsidP="006C75FB">
            <w:pPr>
              <w:jc w:val="center"/>
              <w:rPr>
                <w:rFonts w:ascii="宋体" w:hAnsi="宋体"/>
                <w:sz w:val="24"/>
              </w:rPr>
            </w:pPr>
            <w:r w:rsidRPr="00C021A2">
              <w:rPr>
                <w:rFonts w:ascii="宋体" w:hAnsi="宋体" w:hint="eastAsia"/>
                <w:sz w:val="24"/>
              </w:rPr>
              <w:t>项目编号</w:t>
            </w:r>
          </w:p>
        </w:tc>
        <w:tc>
          <w:tcPr>
            <w:tcW w:w="7737" w:type="dxa"/>
            <w:gridSpan w:val="4"/>
            <w:vAlign w:val="center"/>
          </w:tcPr>
          <w:p w:rsidR="006C75FB" w:rsidRPr="00C021A2" w:rsidRDefault="00CD5FB2" w:rsidP="006C75FB">
            <w:pPr>
              <w:rPr>
                <w:rFonts w:ascii="宋体" w:hAnsi="宋体"/>
                <w:sz w:val="24"/>
              </w:rPr>
            </w:pPr>
            <w:r w:rsidRPr="00CD5FB2">
              <w:rPr>
                <w:rFonts w:ascii="宋体" w:hAnsi="宋体"/>
                <w:sz w:val="24"/>
              </w:rPr>
              <w:t>2020-JK15-W1088</w:t>
            </w:r>
          </w:p>
        </w:tc>
      </w:tr>
      <w:tr w:rsidR="006C75FB" w:rsidRPr="00C021A2" w:rsidTr="006C75FB">
        <w:trPr>
          <w:trHeight w:val="454"/>
          <w:jc w:val="center"/>
        </w:trPr>
        <w:tc>
          <w:tcPr>
            <w:tcW w:w="2120" w:type="dxa"/>
            <w:gridSpan w:val="2"/>
            <w:vAlign w:val="center"/>
          </w:tcPr>
          <w:p w:rsidR="006C75FB" w:rsidRPr="00C021A2" w:rsidRDefault="006C75FB" w:rsidP="006C75FB">
            <w:pPr>
              <w:jc w:val="center"/>
              <w:rPr>
                <w:rFonts w:ascii="宋体" w:hAnsi="宋体"/>
                <w:sz w:val="24"/>
              </w:rPr>
            </w:pPr>
            <w:r w:rsidRPr="00C021A2">
              <w:rPr>
                <w:rFonts w:ascii="宋体" w:hAnsi="宋体" w:hint="eastAsia"/>
                <w:sz w:val="24"/>
              </w:rPr>
              <w:t>设备名称</w:t>
            </w:r>
          </w:p>
        </w:tc>
        <w:tc>
          <w:tcPr>
            <w:tcW w:w="7737" w:type="dxa"/>
            <w:gridSpan w:val="4"/>
            <w:vAlign w:val="center"/>
          </w:tcPr>
          <w:p w:rsidR="006C75FB" w:rsidRPr="00C021A2" w:rsidRDefault="00CD5FB2" w:rsidP="006C75FB">
            <w:pPr>
              <w:rPr>
                <w:rFonts w:ascii="宋体" w:hAnsi="宋体"/>
                <w:sz w:val="24"/>
              </w:rPr>
            </w:pPr>
            <w:r w:rsidRPr="00CD5FB2">
              <w:rPr>
                <w:rFonts w:ascii="宋体" w:hAnsi="宋体" w:hint="eastAsia"/>
                <w:sz w:val="24"/>
              </w:rPr>
              <w:t>教学区网络线路改造</w:t>
            </w:r>
          </w:p>
        </w:tc>
      </w:tr>
      <w:tr w:rsidR="006C75FB" w:rsidRPr="00C021A2" w:rsidTr="006C75FB">
        <w:trPr>
          <w:trHeight w:val="454"/>
          <w:jc w:val="center"/>
        </w:trPr>
        <w:tc>
          <w:tcPr>
            <w:tcW w:w="2120" w:type="dxa"/>
            <w:gridSpan w:val="2"/>
            <w:vAlign w:val="center"/>
          </w:tcPr>
          <w:p w:rsidR="006C75FB" w:rsidRPr="00C021A2" w:rsidRDefault="006C75FB" w:rsidP="006C75FB">
            <w:pPr>
              <w:jc w:val="center"/>
              <w:rPr>
                <w:rFonts w:ascii="宋体" w:hAnsi="宋体"/>
                <w:sz w:val="24"/>
              </w:rPr>
            </w:pPr>
            <w:r w:rsidRPr="00C021A2">
              <w:rPr>
                <w:rFonts w:ascii="宋体" w:hAnsi="宋体" w:hint="eastAsia"/>
                <w:sz w:val="24"/>
              </w:rPr>
              <w:t>设备数量</w:t>
            </w:r>
          </w:p>
        </w:tc>
        <w:tc>
          <w:tcPr>
            <w:tcW w:w="2200" w:type="dxa"/>
            <w:gridSpan w:val="2"/>
            <w:vAlign w:val="center"/>
          </w:tcPr>
          <w:p w:rsidR="006C75FB" w:rsidRPr="00C021A2" w:rsidRDefault="00CD5FB2" w:rsidP="00E33608">
            <w:pPr>
              <w:jc w:val="center"/>
              <w:rPr>
                <w:rFonts w:ascii="宋体" w:hAnsi="宋体"/>
                <w:sz w:val="24"/>
              </w:rPr>
            </w:pPr>
            <w:r>
              <w:rPr>
                <w:rFonts w:ascii="宋体" w:hAnsi="宋体" w:hint="eastAsia"/>
                <w:sz w:val="24"/>
              </w:rPr>
              <w:t>1套</w:t>
            </w:r>
          </w:p>
        </w:tc>
        <w:tc>
          <w:tcPr>
            <w:tcW w:w="5537" w:type="dxa"/>
            <w:gridSpan w:val="2"/>
            <w:vAlign w:val="center"/>
          </w:tcPr>
          <w:p w:rsidR="006C75FB" w:rsidRPr="00C021A2" w:rsidRDefault="00560519" w:rsidP="006C75FB">
            <w:pPr>
              <w:jc w:val="center"/>
              <w:rPr>
                <w:rFonts w:ascii="宋体" w:hAnsi="宋体"/>
                <w:sz w:val="24"/>
              </w:rPr>
            </w:pPr>
            <w:r w:rsidRPr="00C021A2">
              <w:rPr>
                <w:rFonts w:ascii="宋体" w:hAnsi="宋体" w:hint="eastAsia"/>
                <w:sz w:val="24"/>
              </w:rPr>
              <w:sym w:font="Wingdings 2" w:char="F052"/>
            </w:r>
            <w:r w:rsidR="006C75FB" w:rsidRPr="00C021A2">
              <w:rPr>
                <w:rFonts w:ascii="宋体" w:hAnsi="宋体" w:hint="eastAsia"/>
                <w:sz w:val="24"/>
              </w:rPr>
              <w:t xml:space="preserve">国产 </w:t>
            </w:r>
            <w:r w:rsidR="006C75FB" w:rsidRPr="00C021A2">
              <w:rPr>
                <w:rFonts w:ascii="宋体" w:hAnsi="宋体"/>
                <w:sz w:val="24"/>
              </w:rPr>
              <w:t xml:space="preserve">  </w:t>
            </w:r>
            <w:r w:rsidR="00CD5FB2">
              <w:rPr>
                <w:rFonts w:ascii="宋体" w:hAnsi="宋体" w:hint="eastAsia"/>
                <w:sz w:val="24"/>
              </w:rPr>
              <w:t>□</w:t>
            </w:r>
            <w:r w:rsidR="006C75FB" w:rsidRPr="00C021A2">
              <w:rPr>
                <w:rFonts w:ascii="宋体" w:hAnsi="宋体" w:hint="eastAsia"/>
                <w:sz w:val="24"/>
              </w:rPr>
              <w:t>进口</w:t>
            </w:r>
          </w:p>
        </w:tc>
      </w:tr>
      <w:tr w:rsidR="006C75FB" w:rsidRPr="00C021A2" w:rsidTr="006C75FB">
        <w:trPr>
          <w:trHeight w:val="454"/>
          <w:jc w:val="center"/>
        </w:trPr>
        <w:tc>
          <w:tcPr>
            <w:tcW w:w="2120" w:type="dxa"/>
            <w:gridSpan w:val="2"/>
            <w:vAlign w:val="center"/>
          </w:tcPr>
          <w:p w:rsidR="006C75FB" w:rsidRPr="00C021A2" w:rsidRDefault="006C75FB" w:rsidP="006C75FB">
            <w:pPr>
              <w:jc w:val="center"/>
              <w:rPr>
                <w:rFonts w:ascii="宋体" w:hAnsi="宋体"/>
                <w:sz w:val="24"/>
              </w:rPr>
            </w:pPr>
            <w:r w:rsidRPr="00C021A2">
              <w:rPr>
                <w:rFonts w:ascii="宋体" w:hAnsi="宋体" w:hint="eastAsia"/>
                <w:sz w:val="24"/>
              </w:rPr>
              <w:t>最高投标限价</w:t>
            </w:r>
          </w:p>
        </w:tc>
        <w:tc>
          <w:tcPr>
            <w:tcW w:w="7737" w:type="dxa"/>
            <w:gridSpan w:val="4"/>
            <w:vAlign w:val="center"/>
          </w:tcPr>
          <w:p w:rsidR="006C75FB" w:rsidRPr="00C021A2" w:rsidRDefault="00CD5FB2" w:rsidP="00E33608">
            <w:pPr>
              <w:jc w:val="left"/>
              <w:rPr>
                <w:rFonts w:ascii="宋体" w:hAnsi="宋体"/>
                <w:sz w:val="24"/>
              </w:rPr>
            </w:pPr>
            <w:r>
              <w:rPr>
                <w:rFonts w:ascii="宋体" w:hAnsi="宋体" w:hint="eastAsia"/>
                <w:sz w:val="24"/>
              </w:rPr>
              <w:t>90万元</w:t>
            </w:r>
          </w:p>
        </w:tc>
      </w:tr>
      <w:tr w:rsidR="00AD70DA" w:rsidRPr="00C021A2" w:rsidTr="00725B8E">
        <w:trPr>
          <w:trHeight w:val="454"/>
          <w:jc w:val="center"/>
        </w:trPr>
        <w:tc>
          <w:tcPr>
            <w:tcW w:w="9857" w:type="dxa"/>
            <w:gridSpan w:val="6"/>
          </w:tcPr>
          <w:p w:rsidR="00AD70DA" w:rsidRPr="00C021A2" w:rsidRDefault="00AD70DA" w:rsidP="00AD70DA">
            <w:pPr>
              <w:jc w:val="center"/>
              <w:rPr>
                <w:rFonts w:ascii="宋体" w:hAnsi="宋体"/>
                <w:sz w:val="24"/>
              </w:rPr>
            </w:pPr>
            <w:r w:rsidRPr="00C021A2">
              <w:rPr>
                <w:rFonts w:ascii="宋体" w:hAnsi="宋体" w:cs="仿宋" w:hint="eastAsia"/>
                <w:b/>
                <w:sz w:val="24"/>
              </w:rPr>
              <w:t>设备功能要求</w:t>
            </w:r>
          </w:p>
        </w:tc>
      </w:tr>
      <w:tr w:rsidR="00AD70DA" w:rsidRPr="00C021A2" w:rsidTr="00725B8E">
        <w:trPr>
          <w:trHeight w:val="454"/>
          <w:jc w:val="center"/>
        </w:trPr>
        <w:tc>
          <w:tcPr>
            <w:tcW w:w="9857" w:type="dxa"/>
            <w:gridSpan w:val="6"/>
          </w:tcPr>
          <w:p w:rsidR="00114AEA" w:rsidRPr="00C021A2" w:rsidRDefault="00CD5FB2" w:rsidP="00332A64">
            <w:pPr>
              <w:rPr>
                <w:rFonts w:ascii="宋体" w:hAnsi="宋体"/>
                <w:sz w:val="24"/>
              </w:rPr>
            </w:pPr>
            <w:r w:rsidRPr="00CD5FB2">
              <w:rPr>
                <w:rFonts w:ascii="宋体" w:hAnsi="宋体" w:hint="eastAsia"/>
                <w:sz w:val="24"/>
              </w:rPr>
              <w:t>我校动物中心、教保楼、药学系、解剖楼4栋楼宇存在网络系统建设不规范、线缆老化，故障频繁、安全保密不合规等问题，需要对上述楼宇进行网络线路升级维护与改造。</w:t>
            </w:r>
          </w:p>
        </w:tc>
      </w:tr>
      <w:tr w:rsidR="00C727AC" w:rsidRPr="00C021A2" w:rsidTr="006C75FB">
        <w:trPr>
          <w:gridAfter w:val="1"/>
          <w:wAfter w:w="9" w:type="dxa"/>
          <w:trHeight w:val="454"/>
          <w:jc w:val="center"/>
        </w:trPr>
        <w:tc>
          <w:tcPr>
            <w:tcW w:w="9848" w:type="dxa"/>
            <w:gridSpan w:val="5"/>
            <w:vAlign w:val="center"/>
          </w:tcPr>
          <w:p w:rsidR="00C727AC" w:rsidRPr="00C021A2" w:rsidRDefault="00C727AC" w:rsidP="006C75FB">
            <w:pPr>
              <w:jc w:val="center"/>
              <w:rPr>
                <w:rFonts w:ascii="宋体" w:hAnsi="宋体" w:cs="仿宋"/>
                <w:sz w:val="24"/>
              </w:rPr>
            </w:pPr>
            <w:r w:rsidRPr="00C021A2">
              <w:rPr>
                <w:rFonts w:ascii="宋体" w:hAnsi="宋体" w:cs="仿宋" w:hint="eastAsia"/>
                <w:b/>
                <w:sz w:val="24"/>
              </w:rPr>
              <w:t>技术参数要求</w:t>
            </w:r>
          </w:p>
        </w:tc>
      </w:tr>
      <w:tr w:rsidR="00C727AC" w:rsidRPr="00C021A2" w:rsidTr="008564A1">
        <w:trPr>
          <w:gridAfter w:val="1"/>
          <w:wAfter w:w="9" w:type="dxa"/>
          <w:trHeight w:val="454"/>
          <w:jc w:val="center"/>
        </w:trPr>
        <w:tc>
          <w:tcPr>
            <w:tcW w:w="1244" w:type="dxa"/>
            <w:vAlign w:val="center"/>
          </w:tcPr>
          <w:p w:rsidR="00C727AC" w:rsidRPr="00C021A2" w:rsidRDefault="00C727AC" w:rsidP="006C75FB">
            <w:pPr>
              <w:jc w:val="center"/>
              <w:rPr>
                <w:rFonts w:ascii="宋体" w:hAnsi="宋体" w:cs="仿宋"/>
                <w:sz w:val="24"/>
              </w:rPr>
            </w:pPr>
            <w:r w:rsidRPr="00C021A2">
              <w:rPr>
                <w:rFonts w:ascii="宋体" w:hAnsi="宋体" w:cs="仿宋" w:hint="eastAsia"/>
                <w:sz w:val="24"/>
              </w:rPr>
              <w:t>序号</w:t>
            </w:r>
          </w:p>
        </w:tc>
        <w:tc>
          <w:tcPr>
            <w:tcW w:w="2509" w:type="dxa"/>
            <w:gridSpan w:val="2"/>
            <w:vAlign w:val="center"/>
          </w:tcPr>
          <w:p w:rsidR="00C727AC" w:rsidRPr="00C021A2" w:rsidRDefault="00C727AC" w:rsidP="006C75FB">
            <w:pPr>
              <w:jc w:val="center"/>
              <w:rPr>
                <w:rFonts w:ascii="宋体" w:hAnsi="宋体" w:cs="仿宋"/>
                <w:sz w:val="24"/>
              </w:rPr>
            </w:pPr>
            <w:r w:rsidRPr="00C021A2">
              <w:rPr>
                <w:rFonts w:ascii="宋体" w:hAnsi="宋体" w:cs="仿宋" w:hint="eastAsia"/>
                <w:sz w:val="24"/>
              </w:rPr>
              <w:t>指标名称</w:t>
            </w:r>
          </w:p>
        </w:tc>
        <w:tc>
          <w:tcPr>
            <w:tcW w:w="6095" w:type="dxa"/>
            <w:gridSpan w:val="2"/>
            <w:vAlign w:val="center"/>
          </w:tcPr>
          <w:p w:rsidR="00C727AC" w:rsidRPr="00C021A2" w:rsidRDefault="00C727AC" w:rsidP="006C75FB">
            <w:pPr>
              <w:jc w:val="center"/>
              <w:rPr>
                <w:rFonts w:ascii="宋体" w:hAnsi="宋体" w:cs="仿宋"/>
                <w:sz w:val="24"/>
              </w:rPr>
            </w:pPr>
            <w:r w:rsidRPr="00C021A2">
              <w:rPr>
                <w:rFonts w:ascii="宋体" w:hAnsi="宋体" w:cs="仿宋" w:hint="eastAsia"/>
                <w:sz w:val="24"/>
              </w:rPr>
              <w:t>技术参数</w:t>
            </w:r>
          </w:p>
        </w:tc>
      </w:tr>
      <w:tr w:rsidR="00CD5FB2" w:rsidRPr="00C021A2" w:rsidTr="008564A1">
        <w:trPr>
          <w:gridAfter w:val="1"/>
          <w:wAfter w:w="9" w:type="dxa"/>
          <w:trHeight w:val="454"/>
          <w:jc w:val="center"/>
        </w:trPr>
        <w:tc>
          <w:tcPr>
            <w:tcW w:w="1244" w:type="dxa"/>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1</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★总体</w:t>
            </w:r>
            <w:r w:rsidRPr="00CD5FB2">
              <w:rPr>
                <w:rFonts w:ascii="宋体" w:hAnsi="宋体" w:cs="仿宋"/>
                <w:sz w:val="24"/>
              </w:rPr>
              <w:t>要求</w:t>
            </w:r>
          </w:p>
        </w:tc>
        <w:tc>
          <w:tcPr>
            <w:tcW w:w="6095" w:type="dxa"/>
            <w:gridSpan w:val="2"/>
            <w:vAlign w:val="center"/>
          </w:tcPr>
          <w:p w:rsidR="00CD5FB2" w:rsidRPr="00CD5FB2" w:rsidRDefault="00CD5FB2" w:rsidP="00B06CFF">
            <w:pPr>
              <w:rPr>
                <w:rFonts w:ascii="宋体" w:hAnsi="宋体" w:cs="仿宋" w:hint="eastAsia"/>
                <w:sz w:val="24"/>
              </w:rPr>
            </w:pPr>
            <w:r w:rsidRPr="00CD5FB2">
              <w:rPr>
                <w:rFonts w:ascii="宋体" w:hAnsi="宋体" w:cs="仿宋" w:hint="eastAsia"/>
                <w:sz w:val="24"/>
              </w:rPr>
              <w:t>项目建设内容主要包括综合布线和机房建设两项主要内容：</w:t>
            </w:r>
          </w:p>
          <w:p w:rsidR="00CD5FB2" w:rsidRPr="00CD5FB2" w:rsidRDefault="00CD5FB2" w:rsidP="00B06CFF">
            <w:pPr>
              <w:rPr>
                <w:rFonts w:ascii="宋体" w:hAnsi="宋体" w:cs="仿宋" w:hint="eastAsia"/>
                <w:sz w:val="24"/>
              </w:rPr>
            </w:pPr>
            <w:r w:rsidRPr="00CD5FB2">
              <w:rPr>
                <w:rFonts w:ascii="宋体" w:hAnsi="宋体" w:cs="仿宋" w:hint="eastAsia"/>
                <w:sz w:val="24"/>
              </w:rPr>
              <w:t>1.完成学校动物中心、教保楼、药学系和解剖楼4栋楼宇的网络线路升级改造工作，共需敷设网络信息点946个，动物中心改造共需敷设信息点235个，其中校园网信息点150个，军训网信息点85个；教保楼网络改造共需敷设信息点256个，其中校园网信息点188个，军训网信息点68个；药学系网络线路升级改造共需敷设信息点355个，其中校园网信息点245个，军训网信息点110个；解剖楼网络建设共需敷设信息点100个，其中校园网信息点50个，军网信息点50个；按规范敷设通光缆建设1条。</w:t>
            </w:r>
          </w:p>
          <w:p w:rsidR="00CD5FB2" w:rsidRPr="00CD5FB2" w:rsidRDefault="00CD5FB2" w:rsidP="00B06CFF">
            <w:pPr>
              <w:rPr>
                <w:rFonts w:ascii="宋体" w:hAnsi="宋体" w:cs="仿宋" w:hint="eastAsia"/>
                <w:sz w:val="24"/>
              </w:rPr>
            </w:pPr>
            <w:r w:rsidRPr="00CD5FB2">
              <w:rPr>
                <w:rFonts w:ascii="宋体" w:hAnsi="宋体" w:cs="仿宋" w:hint="eastAsia"/>
                <w:sz w:val="24"/>
              </w:rPr>
              <w:t>2.完成4栋楼宇网络机房内部环境改造、机柜安装、安防设备及网络设备的部署调试工作。</w:t>
            </w:r>
          </w:p>
        </w:tc>
      </w:tr>
      <w:tr w:rsidR="00CD5FB2" w:rsidRPr="00C021A2" w:rsidTr="008564A1">
        <w:trPr>
          <w:gridAfter w:val="1"/>
          <w:wAfter w:w="9" w:type="dxa"/>
          <w:trHeight w:val="454"/>
          <w:jc w:val="center"/>
        </w:trPr>
        <w:tc>
          <w:tcPr>
            <w:tcW w:w="1244" w:type="dxa"/>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2</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★综合布线</w:t>
            </w:r>
          </w:p>
        </w:tc>
        <w:tc>
          <w:tcPr>
            <w:tcW w:w="6095" w:type="dxa"/>
            <w:gridSpan w:val="2"/>
            <w:vAlign w:val="center"/>
          </w:tcPr>
          <w:p w:rsidR="00CD5FB2" w:rsidRPr="00CD5FB2" w:rsidRDefault="00CD5FB2" w:rsidP="00B06CFF">
            <w:pPr>
              <w:rPr>
                <w:rFonts w:ascii="宋体" w:hAnsi="宋体" w:cs="仿宋" w:hint="eastAsia"/>
                <w:sz w:val="24"/>
              </w:rPr>
            </w:pPr>
            <w:r w:rsidRPr="00CD5FB2">
              <w:rPr>
                <w:rFonts w:ascii="宋体" w:hAnsi="宋体" w:cs="仿宋" w:hint="eastAsia"/>
                <w:sz w:val="24"/>
              </w:rPr>
              <w:t>1.要求施工所用双绞线（包括跳线）、模块面板、配线间、理线器、水晶头需全部满足六类系统相关标准，且为同一厂商品牌，要求所用产品符合国家相关质量标准（提供第三方质检报告和货物出厂报告）。</w:t>
            </w:r>
          </w:p>
          <w:p w:rsidR="00CD5FB2" w:rsidRPr="00CD5FB2" w:rsidRDefault="00CD5FB2" w:rsidP="00B06CFF">
            <w:pPr>
              <w:rPr>
                <w:rFonts w:ascii="宋体" w:hAnsi="宋体" w:cs="仿宋" w:hint="eastAsia"/>
                <w:sz w:val="24"/>
              </w:rPr>
            </w:pPr>
            <w:r w:rsidRPr="00CD5FB2">
              <w:rPr>
                <w:rFonts w:ascii="宋体" w:hAnsi="宋体" w:cs="仿宋" w:hint="eastAsia"/>
                <w:sz w:val="24"/>
              </w:rPr>
              <w:t>2.所有信息点位采用EIA/TIA568B标准进行端接，采用集中布线方式，每根入户线缆在机房内应预留3米长度；所敷设的线缆应按照规范包扎、固定和标注，并按照实际情况合理使用桥架和PVC线槽</w:t>
            </w:r>
            <w:r w:rsidRPr="00CD5FB2">
              <w:rPr>
                <w:rFonts w:ascii="宋体" w:hAnsi="宋体" w:cs="仿宋"/>
                <w:sz w:val="24"/>
              </w:rPr>
              <w:t>；</w:t>
            </w:r>
            <w:r w:rsidRPr="00CD5FB2">
              <w:rPr>
                <w:rFonts w:ascii="宋体" w:hAnsi="宋体" w:cs="仿宋" w:hint="eastAsia"/>
                <w:sz w:val="24"/>
              </w:rPr>
              <w:t>从机房到用户终端线路长度不得超过90米；校园网布线要求采用灰色线缆，军网布线要求采用蓝色线缆。</w:t>
            </w:r>
          </w:p>
          <w:p w:rsidR="00CD5FB2" w:rsidRPr="00CD5FB2" w:rsidRDefault="00CD5FB2" w:rsidP="00B06CFF">
            <w:pPr>
              <w:rPr>
                <w:rFonts w:ascii="宋体" w:hAnsi="宋体" w:cs="仿宋"/>
                <w:sz w:val="24"/>
              </w:rPr>
            </w:pPr>
            <w:r w:rsidRPr="00CD5FB2">
              <w:rPr>
                <w:rFonts w:ascii="宋体" w:hAnsi="宋体" w:cs="仿宋" w:hint="eastAsia"/>
                <w:sz w:val="24"/>
              </w:rPr>
              <w:t>3.重新敷设一条由解剖楼至继教楼的24芯单模铠装室外光缆（长度约1000米），要求ODF架内配置LC双工法兰（线路开槽挖沟敷设管线必须遵循通信标准2015）。</w:t>
            </w:r>
          </w:p>
          <w:p w:rsidR="00CD5FB2" w:rsidRPr="00CD5FB2" w:rsidRDefault="00CD5FB2" w:rsidP="00B06CFF">
            <w:pPr>
              <w:rPr>
                <w:rFonts w:ascii="宋体" w:hAnsi="宋体" w:cs="仿宋" w:hint="eastAsia"/>
                <w:sz w:val="24"/>
              </w:rPr>
            </w:pPr>
            <w:r w:rsidRPr="00CD5FB2">
              <w:rPr>
                <w:rFonts w:ascii="宋体" w:hAnsi="宋体" w:cs="仿宋" w:hint="eastAsia"/>
                <w:sz w:val="24"/>
              </w:rPr>
              <w:t>4.完成原有老旧线路的清除工作。</w:t>
            </w:r>
          </w:p>
        </w:tc>
      </w:tr>
      <w:tr w:rsidR="00CD5FB2" w:rsidRPr="00C021A2" w:rsidTr="008564A1">
        <w:trPr>
          <w:gridAfter w:val="1"/>
          <w:wAfter w:w="9" w:type="dxa"/>
          <w:trHeight w:val="454"/>
          <w:jc w:val="center"/>
        </w:trPr>
        <w:tc>
          <w:tcPr>
            <w:tcW w:w="1244" w:type="dxa"/>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3</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★机房</w:t>
            </w:r>
            <w:r w:rsidRPr="00CD5FB2">
              <w:rPr>
                <w:rFonts w:ascii="宋体" w:hAnsi="宋体" w:cs="仿宋"/>
                <w:sz w:val="24"/>
              </w:rPr>
              <w:t>建设</w:t>
            </w:r>
          </w:p>
        </w:tc>
        <w:tc>
          <w:tcPr>
            <w:tcW w:w="6095" w:type="dxa"/>
            <w:gridSpan w:val="2"/>
            <w:vAlign w:val="center"/>
          </w:tcPr>
          <w:p w:rsidR="00CD5FB2" w:rsidRPr="00CD5FB2" w:rsidRDefault="00CD5FB2" w:rsidP="00B06CFF">
            <w:pPr>
              <w:rPr>
                <w:rFonts w:ascii="宋体" w:hAnsi="宋体" w:cs="仿宋" w:hint="eastAsia"/>
                <w:sz w:val="24"/>
              </w:rPr>
            </w:pPr>
            <w:r w:rsidRPr="00CD5FB2">
              <w:rPr>
                <w:rFonts w:ascii="宋体" w:hAnsi="宋体" w:cs="仿宋" w:hint="eastAsia"/>
                <w:sz w:val="24"/>
              </w:rPr>
              <w:t>1.各机房内需铺设静电地板，要求为硫酸钙无边钢制地板（提供信产部的检测报告、合格证及防静电装备企业生产资格认定证书复印件，并加盖公章）。</w:t>
            </w:r>
          </w:p>
          <w:p w:rsidR="00CD5FB2" w:rsidRPr="00CD5FB2" w:rsidRDefault="00CD5FB2" w:rsidP="00B06CFF">
            <w:pPr>
              <w:rPr>
                <w:rFonts w:ascii="宋体" w:hAnsi="宋体" w:cs="仿宋" w:hint="eastAsia"/>
                <w:sz w:val="24"/>
              </w:rPr>
            </w:pPr>
            <w:r w:rsidRPr="00CD5FB2">
              <w:rPr>
                <w:rFonts w:ascii="宋体" w:hAnsi="宋体" w:cs="仿宋" w:hint="eastAsia"/>
                <w:sz w:val="24"/>
              </w:rPr>
              <w:lastRenderedPageBreak/>
              <w:t>2.对墙面、天花板进行防尘处理，墙面要求使用环保阻燃材料(国内知名品牌），天花板采用铝制易擦洗材料，并安装空调（功率不小于2匹）。</w:t>
            </w:r>
          </w:p>
          <w:p w:rsidR="00CD5FB2" w:rsidRPr="00CD5FB2" w:rsidRDefault="00CD5FB2" w:rsidP="00B06CFF">
            <w:pPr>
              <w:rPr>
                <w:rFonts w:ascii="宋体" w:hAnsi="宋体" w:cs="仿宋" w:hint="eastAsia"/>
                <w:sz w:val="24"/>
              </w:rPr>
            </w:pPr>
            <w:r w:rsidRPr="00CD5FB2">
              <w:rPr>
                <w:rFonts w:ascii="宋体" w:hAnsi="宋体" w:cs="仿宋" w:hint="eastAsia"/>
                <w:sz w:val="24"/>
              </w:rPr>
              <w:t>3.独立电源系统需从各楼宇总配电室向所在楼宇机房配电箱单独敷设足够功率电缆，</w:t>
            </w:r>
            <w:r w:rsidRPr="00CD5FB2">
              <w:rPr>
                <w:rFonts w:ascii="宋体" w:hAnsi="宋体" w:cs="仿宋"/>
                <w:sz w:val="24"/>
              </w:rPr>
              <w:t>满足</w:t>
            </w:r>
            <w:r w:rsidRPr="00CD5FB2">
              <w:rPr>
                <w:rFonts w:ascii="宋体" w:hAnsi="宋体" w:cs="仿宋" w:hint="eastAsia"/>
                <w:sz w:val="24"/>
              </w:rPr>
              <w:t>各类设备</w:t>
            </w:r>
            <w:r w:rsidRPr="00CD5FB2">
              <w:rPr>
                <w:rFonts w:ascii="宋体" w:hAnsi="宋体" w:cs="仿宋"/>
                <w:sz w:val="24"/>
              </w:rPr>
              <w:t>供电要求</w:t>
            </w:r>
            <w:r w:rsidRPr="00CD5FB2">
              <w:rPr>
                <w:rFonts w:ascii="宋体" w:hAnsi="宋体" w:cs="仿宋" w:hint="eastAsia"/>
                <w:sz w:val="24"/>
              </w:rPr>
              <w:t>，机柜内安装PDU实现网络设备的集中供电。</w:t>
            </w:r>
          </w:p>
          <w:p w:rsidR="00CD5FB2" w:rsidRPr="00CD5FB2" w:rsidRDefault="00CD5FB2" w:rsidP="00B06CFF">
            <w:pPr>
              <w:rPr>
                <w:rFonts w:ascii="宋体" w:hAnsi="宋体" w:cs="仿宋" w:hint="eastAsia"/>
                <w:sz w:val="24"/>
              </w:rPr>
            </w:pPr>
            <w:r w:rsidRPr="00CD5FB2">
              <w:rPr>
                <w:rFonts w:ascii="宋体" w:hAnsi="宋体" w:cs="仿宋" w:hint="eastAsia"/>
                <w:sz w:val="24"/>
              </w:rPr>
              <w:t>4.所有机房均采用2M标准机柜，机柜铁皮厚度2.0mm以上；将校园网和军训网网络线路和网络设备分别安装部署到不同的网络机柜中，实现物理隔离。</w:t>
            </w:r>
          </w:p>
          <w:p w:rsidR="00CD5FB2" w:rsidRPr="00CD5FB2" w:rsidRDefault="00CD5FB2" w:rsidP="00B06CFF">
            <w:pPr>
              <w:rPr>
                <w:rFonts w:ascii="宋体" w:hAnsi="宋体" w:cs="仿宋" w:hint="eastAsia"/>
                <w:sz w:val="24"/>
              </w:rPr>
            </w:pPr>
            <w:r w:rsidRPr="00CD5FB2">
              <w:rPr>
                <w:rFonts w:ascii="宋体" w:hAnsi="宋体" w:cs="仿宋" w:hint="eastAsia"/>
                <w:sz w:val="24"/>
              </w:rPr>
              <w:t>5.机房内需安装具备红外功能网络摄像机（800万像素以上），要求产品能够与甲方现有监控系统无缝对接（提供详细对接方案）。</w:t>
            </w:r>
          </w:p>
          <w:p w:rsidR="00CD5FB2" w:rsidRPr="00CD5FB2" w:rsidRDefault="00CD5FB2" w:rsidP="00B06CFF">
            <w:pPr>
              <w:rPr>
                <w:rFonts w:ascii="宋体" w:hAnsi="宋体" w:cs="仿宋" w:hint="eastAsia"/>
                <w:sz w:val="24"/>
              </w:rPr>
            </w:pPr>
            <w:r w:rsidRPr="00CD5FB2">
              <w:rPr>
                <w:rFonts w:ascii="宋体" w:hAnsi="宋体" w:cs="仿宋" w:hint="eastAsia"/>
                <w:sz w:val="24"/>
              </w:rPr>
              <w:t>6.机房内部需安装消防系统，具有烟感、温感、手动报警、声光报警等功能，要求消防系统能够和现有动环系统无缝对接（提供详细对接方案）。</w:t>
            </w:r>
          </w:p>
        </w:tc>
      </w:tr>
      <w:tr w:rsidR="00CD5FB2" w:rsidRPr="00C021A2" w:rsidTr="008564A1">
        <w:trPr>
          <w:gridAfter w:val="1"/>
          <w:wAfter w:w="9" w:type="dxa"/>
          <w:trHeight w:val="454"/>
          <w:jc w:val="center"/>
        </w:trPr>
        <w:tc>
          <w:tcPr>
            <w:tcW w:w="1244" w:type="dxa"/>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lastRenderedPageBreak/>
              <w:t>4</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★验收</w:t>
            </w:r>
            <w:r w:rsidRPr="00CD5FB2">
              <w:rPr>
                <w:rFonts w:ascii="宋体" w:hAnsi="宋体" w:cs="仿宋"/>
                <w:sz w:val="24"/>
              </w:rPr>
              <w:t>要求</w:t>
            </w:r>
          </w:p>
        </w:tc>
        <w:tc>
          <w:tcPr>
            <w:tcW w:w="6095" w:type="dxa"/>
            <w:gridSpan w:val="2"/>
            <w:vAlign w:val="center"/>
          </w:tcPr>
          <w:p w:rsidR="00CD5FB2" w:rsidRPr="00CD5FB2" w:rsidRDefault="00CD5FB2" w:rsidP="00B06CFF">
            <w:pPr>
              <w:rPr>
                <w:rFonts w:ascii="宋体" w:hAnsi="宋体" w:cs="仿宋"/>
                <w:sz w:val="24"/>
              </w:rPr>
            </w:pPr>
            <w:r w:rsidRPr="00CD5FB2">
              <w:rPr>
                <w:rFonts w:ascii="宋体" w:hAnsi="宋体" w:cs="仿宋" w:hint="eastAsia"/>
                <w:sz w:val="24"/>
              </w:rPr>
              <w:t>1.公司竣工需提供各种布线资料（包括全部线路竣工图、各房间网络数据点分布图、系统全部测试报告、网络布线系统完工报告、各配线架线排平视图、配线架点位对应表、消防图、安防监控点位图）等配套资料（含电子和打印文档）一式四份。</w:t>
            </w:r>
          </w:p>
          <w:p w:rsidR="00CD5FB2" w:rsidRPr="00CD5FB2" w:rsidRDefault="00CD5FB2" w:rsidP="00B06CFF">
            <w:pPr>
              <w:rPr>
                <w:rFonts w:ascii="宋体" w:hAnsi="宋体" w:cs="仿宋" w:hint="eastAsia"/>
                <w:sz w:val="24"/>
              </w:rPr>
            </w:pPr>
            <w:r w:rsidRPr="00CD5FB2">
              <w:rPr>
                <w:rFonts w:ascii="宋体" w:hAnsi="宋体" w:cs="仿宋" w:hint="eastAsia"/>
                <w:sz w:val="24"/>
              </w:rPr>
              <w:t>2.公司需提供网络布线维修工具和保修期间备件。布线维修工具包括3套压线工具、3套网络测试工具；保修期间备件包括用户跳线、终端模块和面板，数量为建设信息点数的5%。</w:t>
            </w:r>
          </w:p>
        </w:tc>
      </w:tr>
      <w:tr w:rsidR="00CD5FB2" w:rsidRPr="00C021A2" w:rsidTr="008564A1">
        <w:trPr>
          <w:gridAfter w:val="1"/>
          <w:wAfter w:w="9" w:type="dxa"/>
          <w:trHeight w:val="454"/>
          <w:jc w:val="center"/>
        </w:trPr>
        <w:tc>
          <w:tcPr>
            <w:tcW w:w="1244" w:type="dxa"/>
            <w:vAlign w:val="center"/>
          </w:tcPr>
          <w:p w:rsidR="00CD5FB2" w:rsidRDefault="00CD5FB2" w:rsidP="00B06CFF">
            <w:pPr>
              <w:jc w:val="center"/>
              <w:rPr>
                <w:rFonts w:ascii="宋体" w:hAnsi="宋体" w:cs="仿宋" w:hint="eastAsia"/>
                <w:sz w:val="24"/>
              </w:rPr>
            </w:pPr>
            <w:r>
              <w:rPr>
                <w:rFonts w:ascii="宋体" w:hAnsi="宋体" w:cs="仿宋" w:hint="eastAsia"/>
                <w:sz w:val="24"/>
              </w:rPr>
              <w:t>5</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★运维响应</w:t>
            </w:r>
          </w:p>
        </w:tc>
        <w:tc>
          <w:tcPr>
            <w:tcW w:w="6095" w:type="dxa"/>
            <w:gridSpan w:val="2"/>
            <w:vAlign w:val="center"/>
          </w:tcPr>
          <w:p w:rsidR="00CD5FB2" w:rsidRPr="00CD5FB2" w:rsidRDefault="00CD5FB2" w:rsidP="00B06CFF">
            <w:pPr>
              <w:rPr>
                <w:rFonts w:ascii="宋体" w:hAnsi="宋体" w:cs="仿宋" w:hint="eastAsia"/>
                <w:sz w:val="24"/>
              </w:rPr>
            </w:pPr>
            <w:r w:rsidRPr="00CD5FB2">
              <w:rPr>
                <w:rFonts w:ascii="宋体" w:hAnsi="宋体" w:cs="仿宋" w:hint="eastAsia"/>
                <w:sz w:val="24"/>
              </w:rPr>
              <w:t>系统免费运维1年，一年内用户方发出通知，4小时内必须响应。</w:t>
            </w:r>
          </w:p>
        </w:tc>
      </w:tr>
      <w:tr w:rsidR="00CD5FB2" w:rsidRPr="00C021A2" w:rsidTr="008D5E37">
        <w:trPr>
          <w:gridAfter w:val="1"/>
          <w:wAfter w:w="9" w:type="dxa"/>
          <w:trHeight w:val="454"/>
          <w:jc w:val="center"/>
        </w:trPr>
        <w:tc>
          <w:tcPr>
            <w:tcW w:w="9848" w:type="dxa"/>
            <w:gridSpan w:val="5"/>
            <w:vAlign w:val="center"/>
          </w:tcPr>
          <w:p w:rsidR="00CD5FB2" w:rsidRPr="00CD5FB2" w:rsidRDefault="00CD5FB2" w:rsidP="00CD5FB2">
            <w:pPr>
              <w:widowControl/>
              <w:spacing w:line="360" w:lineRule="exact"/>
              <w:jc w:val="center"/>
              <w:rPr>
                <w:rFonts w:ascii="宋体" w:hAnsi="宋体" w:cs="仿宋"/>
                <w:sz w:val="24"/>
              </w:rPr>
            </w:pPr>
            <w:r w:rsidRPr="00CD5FB2">
              <w:rPr>
                <w:rFonts w:ascii="宋体" w:hAnsi="宋体" w:cs="仿宋" w:hint="eastAsia"/>
                <w:sz w:val="24"/>
              </w:rPr>
              <w:t>售后服务要求</w:t>
            </w:r>
          </w:p>
        </w:tc>
      </w:tr>
      <w:tr w:rsidR="00CD5FB2" w:rsidRPr="00C021A2" w:rsidTr="008564A1">
        <w:trPr>
          <w:gridAfter w:val="1"/>
          <w:wAfter w:w="9" w:type="dxa"/>
          <w:trHeight w:val="454"/>
          <w:jc w:val="center"/>
        </w:trPr>
        <w:tc>
          <w:tcPr>
            <w:tcW w:w="1244" w:type="dxa"/>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1</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质保期</w:t>
            </w:r>
          </w:p>
        </w:tc>
        <w:tc>
          <w:tcPr>
            <w:tcW w:w="6095" w:type="dxa"/>
            <w:gridSpan w:val="2"/>
            <w:vAlign w:val="center"/>
          </w:tcPr>
          <w:p w:rsidR="00CD5FB2" w:rsidRPr="00CD5FB2" w:rsidRDefault="00CD5FB2" w:rsidP="00B06CFF">
            <w:pPr>
              <w:rPr>
                <w:rFonts w:ascii="宋体" w:hAnsi="宋体" w:cs="仿宋" w:hint="eastAsia"/>
                <w:sz w:val="24"/>
              </w:rPr>
            </w:pPr>
            <w:r w:rsidRPr="00CD5FB2">
              <w:rPr>
                <w:rFonts w:ascii="宋体" w:hAnsi="宋体" w:cs="仿宋" w:hint="eastAsia"/>
                <w:sz w:val="24"/>
              </w:rPr>
              <w:t>所有</w:t>
            </w:r>
            <w:r w:rsidRPr="00CD5FB2">
              <w:rPr>
                <w:rFonts w:ascii="宋体" w:hAnsi="宋体" w:cs="仿宋"/>
                <w:sz w:val="24"/>
              </w:rPr>
              <w:t>新建线路保修期</w:t>
            </w:r>
            <w:r w:rsidRPr="00CD5FB2">
              <w:rPr>
                <w:rFonts w:ascii="宋体" w:hAnsi="宋体" w:cs="仿宋" w:hint="eastAsia"/>
                <w:sz w:val="24"/>
              </w:rPr>
              <w:t>10年以上质保。</w:t>
            </w:r>
          </w:p>
        </w:tc>
      </w:tr>
      <w:tr w:rsidR="00CD5FB2" w:rsidRPr="00C021A2" w:rsidTr="008564A1">
        <w:trPr>
          <w:gridAfter w:val="1"/>
          <w:wAfter w:w="9" w:type="dxa"/>
          <w:trHeight w:val="454"/>
          <w:jc w:val="center"/>
        </w:trPr>
        <w:tc>
          <w:tcPr>
            <w:tcW w:w="1244" w:type="dxa"/>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2</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备件库</w:t>
            </w:r>
          </w:p>
        </w:tc>
        <w:tc>
          <w:tcPr>
            <w:tcW w:w="6095" w:type="dxa"/>
            <w:gridSpan w:val="2"/>
            <w:vAlign w:val="center"/>
          </w:tcPr>
          <w:p w:rsidR="00CD5FB2" w:rsidRPr="00CD5FB2" w:rsidRDefault="00CD5FB2" w:rsidP="00B06CFF">
            <w:pPr>
              <w:rPr>
                <w:rFonts w:ascii="宋体" w:hAnsi="宋体" w:cs="仿宋" w:hint="eastAsia"/>
                <w:sz w:val="24"/>
              </w:rPr>
            </w:pPr>
            <w:r w:rsidRPr="00CD5FB2">
              <w:rPr>
                <w:rFonts w:ascii="宋体" w:hAnsi="宋体" w:cs="仿宋" w:hint="eastAsia"/>
                <w:sz w:val="24"/>
              </w:rPr>
              <w:t>要求</w:t>
            </w:r>
            <w:r w:rsidRPr="00CD5FB2">
              <w:rPr>
                <w:rFonts w:ascii="宋体" w:hAnsi="宋体" w:cs="仿宋"/>
                <w:sz w:val="24"/>
              </w:rPr>
              <w:t>西安有本地备件库</w:t>
            </w:r>
          </w:p>
        </w:tc>
      </w:tr>
      <w:tr w:rsidR="00CD5FB2" w:rsidRPr="00C021A2" w:rsidTr="008564A1">
        <w:trPr>
          <w:gridAfter w:val="1"/>
          <w:wAfter w:w="9" w:type="dxa"/>
          <w:trHeight w:val="454"/>
          <w:jc w:val="center"/>
        </w:trPr>
        <w:tc>
          <w:tcPr>
            <w:tcW w:w="1244" w:type="dxa"/>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3</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维修站</w:t>
            </w:r>
          </w:p>
        </w:tc>
        <w:tc>
          <w:tcPr>
            <w:tcW w:w="6095" w:type="dxa"/>
            <w:gridSpan w:val="2"/>
            <w:vAlign w:val="center"/>
          </w:tcPr>
          <w:p w:rsidR="00CD5FB2" w:rsidRPr="00CD5FB2" w:rsidRDefault="00CD5FB2" w:rsidP="00B06CFF">
            <w:pPr>
              <w:rPr>
                <w:rFonts w:ascii="宋体" w:hAnsi="宋体" w:cs="仿宋" w:hint="eastAsia"/>
                <w:sz w:val="24"/>
              </w:rPr>
            </w:pPr>
            <w:r w:rsidRPr="00CD5FB2">
              <w:rPr>
                <w:rFonts w:ascii="宋体" w:hAnsi="宋体" w:cs="仿宋" w:hint="eastAsia"/>
                <w:sz w:val="24"/>
              </w:rPr>
              <w:t>要求</w:t>
            </w:r>
            <w:r w:rsidRPr="00CD5FB2">
              <w:rPr>
                <w:rFonts w:ascii="宋体" w:hAnsi="宋体" w:cs="仿宋"/>
                <w:sz w:val="24"/>
              </w:rPr>
              <w:t>西安有维修</w:t>
            </w:r>
            <w:r w:rsidRPr="00CD5FB2">
              <w:rPr>
                <w:rFonts w:ascii="宋体" w:hAnsi="宋体" w:cs="仿宋" w:hint="eastAsia"/>
                <w:sz w:val="24"/>
              </w:rPr>
              <w:t>技术</w:t>
            </w:r>
            <w:r w:rsidRPr="00CD5FB2">
              <w:rPr>
                <w:rFonts w:ascii="宋体" w:hAnsi="宋体" w:cs="仿宋"/>
                <w:sz w:val="24"/>
              </w:rPr>
              <w:t>人员</w:t>
            </w:r>
          </w:p>
        </w:tc>
      </w:tr>
      <w:tr w:rsidR="00CD5FB2" w:rsidRPr="00C021A2" w:rsidTr="008564A1">
        <w:trPr>
          <w:gridAfter w:val="1"/>
          <w:wAfter w:w="9" w:type="dxa"/>
          <w:trHeight w:val="454"/>
          <w:jc w:val="center"/>
        </w:trPr>
        <w:tc>
          <w:tcPr>
            <w:tcW w:w="1244" w:type="dxa"/>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4</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收费标准</w:t>
            </w:r>
          </w:p>
        </w:tc>
        <w:tc>
          <w:tcPr>
            <w:tcW w:w="6095" w:type="dxa"/>
            <w:gridSpan w:val="2"/>
            <w:vAlign w:val="center"/>
          </w:tcPr>
          <w:p w:rsidR="00CD5FB2" w:rsidRPr="00CD5FB2" w:rsidRDefault="00CD5FB2" w:rsidP="00B06CFF">
            <w:pPr>
              <w:rPr>
                <w:rFonts w:ascii="宋体" w:hAnsi="宋体" w:cs="仿宋" w:hint="eastAsia"/>
                <w:sz w:val="24"/>
              </w:rPr>
            </w:pPr>
          </w:p>
        </w:tc>
      </w:tr>
      <w:tr w:rsidR="00CD5FB2" w:rsidRPr="00C021A2" w:rsidTr="008564A1">
        <w:trPr>
          <w:gridAfter w:val="1"/>
          <w:wAfter w:w="9" w:type="dxa"/>
          <w:trHeight w:val="454"/>
          <w:jc w:val="center"/>
        </w:trPr>
        <w:tc>
          <w:tcPr>
            <w:tcW w:w="1244" w:type="dxa"/>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5</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培训支持</w:t>
            </w:r>
          </w:p>
        </w:tc>
        <w:tc>
          <w:tcPr>
            <w:tcW w:w="6095" w:type="dxa"/>
            <w:gridSpan w:val="2"/>
            <w:vAlign w:val="center"/>
          </w:tcPr>
          <w:p w:rsidR="00CD5FB2" w:rsidRPr="00CD5FB2" w:rsidRDefault="00CD5FB2" w:rsidP="00B06CFF">
            <w:pPr>
              <w:rPr>
                <w:rFonts w:ascii="宋体" w:hAnsi="宋体" w:cs="仿宋" w:hint="eastAsia"/>
                <w:sz w:val="24"/>
              </w:rPr>
            </w:pPr>
          </w:p>
        </w:tc>
      </w:tr>
      <w:tr w:rsidR="00CD5FB2" w:rsidRPr="00C021A2" w:rsidTr="008564A1">
        <w:trPr>
          <w:gridAfter w:val="1"/>
          <w:wAfter w:w="9" w:type="dxa"/>
          <w:trHeight w:val="454"/>
          <w:jc w:val="center"/>
        </w:trPr>
        <w:tc>
          <w:tcPr>
            <w:tcW w:w="1244" w:type="dxa"/>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6</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维修响应</w:t>
            </w:r>
          </w:p>
        </w:tc>
        <w:tc>
          <w:tcPr>
            <w:tcW w:w="6095" w:type="dxa"/>
            <w:gridSpan w:val="2"/>
            <w:vAlign w:val="center"/>
          </w:tcPr>
          <w:p w:rsidR="00CD5FB2" w:rsidRPr="00CD5FB2" w:rsidRDefault="00CD5FB2" w:rsidP="00B06CFF">
            <w:pPr>
              <w:rPr>
                <w:rFonts w:ascii="宋体" w:hAnsi="宋体" w:cs="仿宋" w:hint="eastAsia"/>
                <w:sz w:val="24"/>
              </w:rPr>
            </w:pPr>
            <w:r w:rsidRPr="00CD5FB2">
              <w:rPr>
                <w:rFonts w:ascii="宋体" w:hAnsi="宋体" w:cs="仿宋" w:hint="eastAsia"/>
                <w:sz w:val="24"/>
              </w:rPr>
              <w:t>故障响应时间不超过1小时，到达现场时间不超过2小时，故障处理时间不超过24小时</w:t>
            </w:r>
          </w:p>
        </w:tc>
      </w:tr>
      <w:tr w:rsidR="00CD5FB2" w:rsidRPr="00C021A2" w:rsidTr="008564A1">
        <w:trPr>
          <w:gridAfter w:val="1"/>
          <w:wAfter w:w="9" w:type="dxa"/>
          <w:trHeight w:val="454"/>
          <w:jc w:val="center"/>
        </w:trPr>
        <w:tc>
          <w:tcPr>
            <w:tcW w:w="1244" w:type="dxa"/>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7</w:t>
            </w:r>
          </w:p>
        </w:tc>
        <w:tc>
          <w:tcPr>
            <w:tcW w:w="2509" w:type="dxa"/>
            <w:gridSpan w:val="2"/>
            <w:vAlign w:val="center"/>
          </w:tcPr>
          <w:p w:rsidR="00CD5FB2" w:rsidRPr="00CD5FB2" w:rsidRDefault="00CD5FB2" w:rsidP="00B06CFF">
            <w:pPr>
              <w:jc w:val="center"/>
              <w:rPr>
                <w:rFonts w:ascii="宋体" w:hAnsi="宋体" w:cs="仿宋" w:hint="eastAsia"/>
                <w:sz w:val="24"/>
              </w:rPr>
            </w:pPr>
            <w:r w:rsidRPr="00CD5FB2">
              <w:rPr>
                <w:rFonts w:ascii="宋体" w:hAnsi="宋体" w:cs="仿宋" w:hint="eastAsia"/>
                <w:sz w:val="24"/>
              </w:rPr>
              <w:t>到货时间</w:t>
            </w:r>
          </w:p>
        </w:tc>
        <w:tc>
          <w:tcPr>
            <w:tcW w:w="6095" w:type="dxa"/>
            <w:gridSpan w:val="2"/>
            <w:vAlign w:val="center"/>
          </w:tcPr>
          <w:p w:rsidR="00CD5FB2" w:rsidRPr="00CD5FB2" w:rsidRDefault="00CD5FB2" w:rsidP="00B06CFF">
            <w:pPr>
              <w:rPr>
                <w:rFonts w:ascii="宋体" w:hAnsi="宋体" w:cs="仿宋" w:hint="eastAsia"/>
                <w:sz w:val="24"/>
              </w:rPr>
            </w:pPr>
            <w:r w:rsidRPr="00CD5FB2">
              <w:rPr>
                <w:rFonts w:ascii="宋体" w:hAnsi="宋体" w:cs="仿宋" w:hint="eastAsia"/>
                <w:sz w:val="24"/>
              </w:rPr>
              <w:t>合同限定后30日内</w:t>
            </w:r>
          </w:p>
        </w:tc>
      </w:tr>
    </w:tbl>
    <w:p w:rsidR="006C75FB" w:rsidRPr="00C021A2" w:rsidRDefault="00C021A2" w:rsidP="006C75FB">
      <w:pPr>
        <w:widowControl/>
        <w:jc w:val="left"/>
        <w:rPr>
          <w:rFonts w:asciiTheme="minorEastAsia" w:eastAsiaTheme="minorEastAsia" w:hAnsiTheme="minorEastAsia"/>
          <w:sz w:val="24"/>
        </w:rPr>
      </w:pPr>
      <w:bookmarkStart w:id="0" w:name="_Hlk50096648"/>
      <w:r w:rsidRPr="00C021A2">
        <w:rPr>
          <w:rFonts w:ascii="宋体" w:hAnsi="宋体" w:hint="eastAsia"/>
          <w:sz w:val="24"/>
        </w:rPr>
        <w:t>说明: 功能要求、配置清单为必备要求，从功能角度提出；技术参数体现设备档次要求，参数中区分“★”、“＃”参数，其中“★”参数为核心参数，为必须满足参数；“＃”参数为重要参数，在采购评审中分值较高。一般技术指标参数不作标记。投标人须提供所有“正偏离”、“无偏离”响应的技术参数的支持资料，包括但不限于生产商公开发布的资料（含生产商出具的产品规格表、检测机构出具的检测报告、技术白皮书、使用说明书、公开发布的宣传彩页等）。并在技术</w:t>
      </w:r>
      <w:r w:rsidRPr="00C021A2">
        <w:rPr>
          <w:rFonts w:ascii="宋体" w:hAnsi="宋体" w:hint="eastAsia"/>
          <w:sz w:val="24"/>
        </w:rPr>
        <w:lastRenderedPageBreak/>
        <w:t>参数偏离表备注栏中注明支持材料在标书中的页码、行数并显著标记，凡未提供有效证明文件的响应不予认可。未按要求填写的，可能被认定为无效投标，提供虚假指标参数的，其投标将被否决</w:t>
      </w:r>
      <w:r w:rsidR="006C75FB" w:rsidRPr="00C021A2">
        <w:rPr>
          <w:rFonts w:asciiTheme="minorEastAsia" w:eastAsiaTheme="minorEastAsia" w:hAnsiTheme="minorEastAsia" w:cs="仿宋_GB2312" w:hint="eastAsia"/>
          <w:sz w:val="24"/>
        </w:rPr>
        <w:t>。</w:t>
      </w:r>
    </w:p>
    <w:bookmarkEnd w:id="0"/>
    <w:p w:rsidR="006C75FB" w:rsidRDefault="006C75FB" w:rsidP="006C75FB">
      <w:pPr>
        <w:widowControl/>
        <w:jc w:val="left"/>
        <w:rPr>
          <w:rFonts w:asciiTheme="minorEastAsia" w:eastAsiaTheme="minorEastAsia" w:hAnsiTheme="minorEastAsia" w:cs="黑体"/>
          <w:snapToGrid w:val="0"/>
          <w:sz w:val="24"/>
        </w:rPr>
      </w:pPr>
    </w:p>
    <w:sectPr w:rsidR="006C75FB" w:rsidSect="00D844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F8D" w:rsidRDefault="00016F8D" w:rsidP="0091323C">
      <w:r>
        <w:separator/>
      </w:r>
    </w:p>
  </w:endnote>
  <w:endnote w:type="continuationSeparator" w:id="1">
    <w:p w:rsidR="00016F8D" w:rsidRDefault="00016F8D" w:rsidP="00913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F8D" w:rsidRDefault="00016F8D" w:rsidP="0091323C">
      <w:r>
        <w:separator/>
      </w:r>
    </w:p>
  </w:footnote>
  <w:footnote w:type="continuationSeparator" w:id="1">
    <w:p w:rsidR="00016F8D" w:rsidRDefault="00016F8D" w:rsidP="009132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2D2FAD"/>
    <w:multiLevelType w:val="singleLevel"/>
    <w:tmpl w:val="0A2D2FAD"/>
    <w:lvl w:ilvl="0">
      <w:start w:val="1"/>
      <w:numFmt w:val="decimal"/>
      <w:suff w:val="nothing"/>
      <w:lvlText w:val="%1）"/>
      <w:lvlJc w:val="left"/>
    </w:lvl>
  </w:abstractNum>
  <w:abstractNum w:abstractNumId="4">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B3AC83"/>
    <w:multiLevelType w:val="singleLevel"/>
    <w:tmpl w:val="4EB3AC83"/>
    <w:lvl w:ilvl="0">
      <w:start w:val="1"/>
      <w:numFmt w:val="decimal"/>
      <w:lvlText w:val="%1."/>
      <w:lvlJc w:val="left"/>
      <w:pPr>
        <w:tabs>
          <w:tab w:val="num" w:pos="312"/>
        </w:tabs>
      </w:pPr>
    </w:lvl>
  </w:abstractNum>
  <w:abstractNum w:abstractNumId="7">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8">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9">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BD1E8D0"/>
    <w:multiLevelType w:val="singleLevel"/>
    <w:tmpl w:val="5BD1E8D0"/>
    <w:lvl w:ilvl="0">
      <w:start w:val="1"/>
      <w:numFmt w:val="decimal"/>
      <w:lvlText w:val="%1."/>
      <w:lvlJc w:val="left"/>
      <w:pPr>
        <w:tabs>
          <w:tab w:val="num" w:pos="312"/>
        </w:tabs>
      </w:pPr>
    </w:lvl>
  </w:abstractNum>
  <w:abstractNum w:abstractNumId="11">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8"/>
  </w:num>
  <w:num w:numId="4">
    <w:abstractNumId w:val="7"/>
  </w:num>
  <w:num w:numId="5">
    <w:abstractNumId w:val="5"/>
  </w:num>
  <w:num w:numId="6">
    <w:abstractNumId w:val="2"/>
  </w:num>
  <w:num w:numId="7">
    <w:abstractNumId w:val="3"/>
  </w:num>
  <w:num w:numId="8">
    <w:abstractNumId w:val="11"/>
  </w:num>
  <w:num w:numId="9">
    <w:abstractNumId w:val="1"/>
  </w:num>
  <w:num w:numId="10">
    <w:abstractNumId w:val="10"/>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A15E62"/>
    <w:rsid w:val="00016F8D"/>
    <w:rsid w:val="00046163"/>
    <w:rsid w:val="000545FE"/>
    <w:rsid w:val="00062C9C"/>
    <w:rsid w:val="00094C83"/>
    <w:rsid w:val="000A384B"/>
    <w:rsid w:val="000C3A2F"/>
    <w:rsid w:val="000C6484"/>
    <w:rsid w:val="000E5CA4"/>
    <w:rsid w:val="00107C49"/>
    <w:rsid w:val="00114AEA"/>
    <w:rsid w:val="0012041F"/>
    <w:rsid w:val="00155B3B"/>
    <w:rsid w:val="001A1628"/>
    <w:rsid w:val="001C3337"/>
    <w:rsid w:val="001F737E"/>
    <w:rsid w:val="00202DB2"/>
    <w:rsid w:val="002047C7"/>
    <w:rsid w:val="00221CC8"/>
    <w:rsid w:val="00230CF8"/>
    <w:rsid w:val="00251BA2"/>
    <w:rsid w:val="00252FE9"/>
    <w:rsid w:val="00285100"/>
    <w:rsid w:val="002B40AE"/>
    <w:rsid w:val="002C4BC4"/>
    <w:rsid w:val="003151D7"/>
    <w:rsid w:val="003250CD"/>
    <w:rsid w:val="00332A64"/>
    <w:rsid w:val="00344E7A"/>
    <w:rsid w:val="003526D5"/>
    <w:rsid w:val="00361D23"/>
    <w:rsid w:val="003A3ABE"/>
    <w:rsid w:val="003C1FAC"/>
    <w:rsid w:val="00415F46"/>
    <w:rsid w:val="00472BFD"/>
    <w:rsid w:val="00480E1E"/>
    <w:rsid w:val="00486784"/>
    <w:rsid w:val="004A675A"/>
    <w:rsid w:val="004B5D66"/>
    <w:rsid w:val="004C37F8"/>
    <w:rsid w:val="004D21DD"/>
    <w:rsid w:val="004E7B7D"/>
    <w:rsid w:val="00502B07"/>
    <w:rsid w:val="0050461A"/>
    <w:rsid w:val="00540256"/>
    <w:rsid w:val="00560519"/>
    <w:rsid w:val="00576DCF"/>
    <w:rsid w:val="00580FC7"/>
    <w:rsid w:val="00581A2E"/>
    <w:rsid w:val="005C1886"/>
    <w:rsid w:val="00603E75"/>
    <w:rsid w:val="00605788"/>
    <w:rsid w:val="00605842"/>
    <w:rsid w:val="00612084"/>
    <w:rsid w:val="0064153B"/>
    <w:rsid w:val="00644F13"/>
    <w:rsid w:val="006464E9"/>
    <w:rsid w:val="00650CFC"/>
    <w:rsid w:val="00682485"/>
    <w:rsid w:val="006C75FB"/>
    <w:rsid w:val="006D71A6"/>
    <w:rsid w:val="00725A54"/>
    <w:rsid w:val="0073745C"/>
    <w:rsid w:val="0074369E"/>
    <w:rsid w:val="00776C3E"/>
    <w:rsid w:val="00790D63"/>
    <w:rsid w:val="007975BA"/>
    <w:rsid w:val="007C061A"/>
    <w:rsid w:val="007D147D"/>
    <w:rsid w:val="007D37E2"/>
    <w:rsid w:val="007E2DAD"/>
    <w:rsid w:val="008025C6"/>
    <w:rsid w:val="00815EDB"/>
    <w:rsid w:val="00826E11"/>
    <w:rsid w:val="0082728A"/>
    <w:rsid w:val="0083471C"/>
    <w:rsid w:val="008456AC"/>
    <w:rsid w:val="00846B87"/>
    <w:rsid w:val="008564A1"/>
    <w:rsid w:val="00860B28"/>
    <w:rsid w:val="008769A2"/>
    <w:rsid w:val="00891FC3"/>
    <w:rsid w:val="008A4967"/>
    <w:rsid w:val="008A64F5"/>
    <w:rsid w:val="008C5902"/>
    <w:rsid w:val="00905E6A"/>
    <w:rsid w:val="00911B92"/>
    <w:rsid w:val="0091323C"/>
    <w:rsid w:val="00934229"/>
    <w:rsid w:val="00943275"/>
    <w:rsid w:val="009B4794"/>
    <w:rsid w:val="009C5AD1"/>
    <w:rsid w:val="009D4E32"/>
    <w:rsid w:val="009E3452"/>
    <w:rsid w:val="00A011B6"/>
    <w:rsid w:val="00A02CAD"/>
    <w:rsid w:val="00A17223"/>
    <w:rsid w:val="00A33D6F"/>
    <w:rsid w:val="00A4142E"/>
    <w:rsid w:val="00A579E1"/>
    <w:rsid w:val="00A64A4D"/>
    <w:rsid w:val="00A76416"/>
    <w:rsid w:val="00A95588"/>
    <w:rsid w:val="00A97192"/>
    <w:rsid w:val="00AA6CA3"/>
    <w:rsid w:val="00AC023F"/>
    <w:rsid w:val="00AC05F6"/>
    <w:rsid w:val="00AC2FEC"/>
    <w:rsid w:val="00AD70DA"/>
    <w:rsid w:val="00B22D2F"/>
    <w:rsid w:val="00B4737F"/>
    <w:rsid w:val="00B52870"/>
    <w:rsid w:val="00B57386"/>
    <w:rsid w:val="00B7345A"/>
    <w:rsid w:val="00BA7466"/>
    <w:rsid w:val="00BC19C8"/>
    <w:rsid w:val="00BD6DF5"/>
    <w:rsid w:val="00C021A2"/>
    <w:rsid w:val="00C0235F"/>
    <w:rsid w:val="00C20B05"/>
    <w:rsid w:val="00C26053"/>
    <w:rsid w:val="00C451A2"/>
    <w:rsid w:val="00C722B3"/>
    <w:rsid w:val="00C727AC"/>
    <w:rsid w:val="00C77FA6"/>
    <w:rsid w:val="00C91306"/>
    <w:rsid w:val="00CB4529"/>
    <w:rsid w:val="00CC08FC"/>
    <w:rsid w:val="00CD5FB2"/>
    <w:rsid w:val="00CF4071"/>
    <w:rsid w:val="00D25455"/>
    <w:rsid w:val="00D379B2"/>
    <w:rsid w:val="00D509BA"/>
    <w:rsid w:val="00D769DA"/>
    <w:rsid w:val="00D844E9"/>
    <w:rsid w:val="00DA3A8B"/>
    <w:rsid w:val="00DC5219"/>
    <w:rsid w:val="00DD7187"/>
    <w:rsid w:val="00E06986"/>
    <w:rsid w:val="00E07EED"/>
    <w:rsid w:val="00E1044C"/>
    <w:rsid w:val="00E33608"/>
    <w:rsid w:val="00E46234"/>
    <w:rsid w:val="00E466E8"/>
    <w:rsid w:val="00E80934"/>
    <w:rsid w:val="00E8381C"/>
    <w:rsid w:val="00EB61E8"/>
    <w:rsid w:val="00EE242E"/>
    <w:rsid w:val="00EE2CE1"/>
    <w:rsid w:val="00EE384E"/>
    <w:rsid w:val="00EF45B8"/>
    <w:rsid w:val="00F1160B"/>
    <w:rsid w:val="00F27A73"/>
    <w:rsid w:val="00F34D60"/>
    <w:rsid w:val="00F35A7B"/>
    <w:rsid w:val="00F705B7"/>
    <w:rsid w:val="00F870C6"/>
    <w:rsid w:val="00FA1361"/>
    <w:rsid w:val="00FA17E7"/>
    <w:rsid w:val="00FA1DCC"/>
    <w:rsid w:val="00FA7DD0"/>
    <w:rsid w:val="00FD101E"/>
    <w:rsid w:val="00FD63B8"/>
    <w:rsid w:val="19A15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Char"/>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913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91323C"/>
    <w:rPr>
      <w:rFonts w:ascii="Times New Roman" w:eastAsia="宋体" w:hAnsi="Times New Roman" w:cs="宋体"/>
      <w:kern w:val="2"/>
      <w:sz w:val="18"/>
      <w:szCs w:val="18"/>
    </w:rPr>
  </w:style>
  <w:style w:type="paragraph" w:styleId="a5">
    <w:name w:val="footer"/>
    <w:basedOn w:val="a"/>
    <w:link w:val="Char0"/>
    <w:rsid w:val="0091323C"/>
    <w:pPr>
      <w:tabs>
        <w:tab w:val="center" w:pos="4153"/>
        <w:tab w:val="right" w:pos="8306"/>
      </w:tabs>
      <w:snapToGrid w:val="0"/>
      <w:jc w:val="left"/>
    </w:pPr>
    <w:rPr>
      <w:sz w:val="18"/>
      <w:szCs w:val="18"/>
    </w:rPr>
  </w:style>
  <w:style w:type="character" w:customStyle="1" w:styleId="Char0">
    <w:name w:val="页脚 Char"/>
    <w:basedOn w:val="a1"/>
    <w:link w:val="a5"/>
    <w:rsid w:val="0091323C"/>
    <w:rPr>
      <w:rFonts w:ascii="Times New Roman" w:eastAsia="宋体" w:hAnsi="Times New Roman" w:cs="宋体"/>
      <w:kern w:val="2"/>
      <w:sz w:val="18"/>
      <w:szCs w:val="18"/>
    </w:rPr>
  </w:style>
  <w:style w:type="character" w:styleId="a6">
    <w:name w:val="annotation reference"/>
    <w:basedOn w:val="a1"/>
    <w:rsid w:val="00E466E8"/>
    <w:rPr>
      <w:sz w:val="21"/>
      <w:szCs w:val="21"/>
    </w:rPr>
  </w:style>
  <w:style w:type="paragraph" w:styleId="a7">
    <w:name w:val="annotation text"/>
    <w:basedOn w:val="a"/>
    <w:link w:val="Char1"/>
    <w:rsid w:val="00E466E8"/>
    <w:pPr>
      <w:jc w:val="left"/>
    </w:pPr>
  </w:style>
  <w:style w:type="character" w:customStyle="1" w:styleId="Char1">
    <w:name w:val="批注文字 Char"/>
    <w:basedOn w:val="a1"/>
    <w:link w:val="a7"/>
    <w:rsid w:val="00E466E8"/>
    <w:rPr>
      <w:rFonts w:ascii="Times New Roman" w:eastAsia="宋体" w:hAnsi="Times New Roman" w:cs="宋体"/>
      <w:kern w:val="2"/>
      <w:sz w:val="21"/>
      <w:szCs w:val="24"/>
    </w:rPr>
  </w:style>
  <w:style w:type="paragraph" w:styleId="a8">
    <w:name w:val="annotation subject"/>
    <w:basedOn w:val="a7"/>
    <w:next w:val="a7"/>
    <w:link w:val="Char2"/>
    <w:rsid w:val="00E466E8"/>
    <w:rPr>
      <w:b/>
      <w:bCs/>
    </w:rPr>
  </w:style>
  <w:style w:type="character" w:customStyle="1" w:styleId="Char2">
    <w:name w:val="批注主题 Char"/>
    <w:basedOn w:val="Char1"/>
    <w:link w:val="a8"/>
    <w:rsid w:val="00E466E8"/>
    <w:rPr>
      <w:rFonts w:ascii="Times New Roman" w:eastAsia="宋体" w:hAnsi="Times New Roman" w:cs="宋体"/>
      <w:b/>
      <w:bCs/>
      <w:kern w:val="2"/>
      <w:sz w:val="21"/>
      <w:szCs w:val="24"/>
    </w:rPr>
  </w:style>
  <w:style w:type="paragraph" w:styleId="a9">
    <w:name w:val="Revision"/>
    <w:hidden/>
    <w:uiPriority w:val="99"/>
    <w:semiHidden/>
    <w:rsid w:val="00E466E8"/>
    <w:rPr>
      <w:rFonts w:ascii="Times New Roman" w:eastAsia="宋体" w:hAnsi="Times New Roman" w:cs="宋体"/>
      <w:kern w:val="2"/>
      <w:sz w:val="21"/>
      <w:szCs w:val="24"/>
    </w:rPr>
  </w:style>
  <w:style w:type="paragraph" w:styleId="aa">
    <w:name w:val="Balloon Text"/>
    <w:basedOn w:val="a"/>
    <w:link w:val="Char3"/>
    <w:rsid w:val="00E466E8"/>
    <w:rPr>
      <w:sz w:val="18"/>
      <w:szCs w:val="18"/>
    </w:rPr>
  </w:style>
  <w:style w:type="character" w:customStyle="1" w:styleId="Char3">
    <w:name w:val="批注框文本 Char"/>
    <w:basedOn w:val="a1"/>
    <w:link w:val="aa"/>
    <w:rsid w:val="00E466E8"/>
    <w:rPr>
      <w:rFonts w:ascii="Times New Roman" w:eastAsia="宋体" w:hAnsi="Times New Roman" w:cs="宋体"/>
      <w:kern w:val="2"/>
      <w:sz w:val="18"/>
      <w:szCs w:val="18"/>
    </w:rPr>
  </w:style>
  <w:style w:type="character" w:customStyle="1" w:styleId="Char4">
    <w:name w:val="纯文本 Char"/>
    <w:link w:val="ab"/>
    <w:rsid w:val="00605842"/>
    <w:rPr>
      <w:rFonts w:ascii="宋体" w:hAnsi="Courier New"/>
      <w:kern w:val="2"/>
      <w:sz w:val="21"/>
    </w:rPr>
  </w:style>
  <w:style w:type="paragraph" w:styleId="ab">
    <w:name w:val="Plain Text"/>
    <w:basedOn w:val="a"/>
    <w:link w:val="Char4"/>
    <w:unhideWhenUsed/>
    <w:rsid w:val="00605842"/>
    <w:rPr>
      <w:rFonts w:ascii="宋体" w:eastAsiaTheme="minorEastAsia" w:hAnsi="Courier New" w:cstheme="minorBidi"/>
      <w:szCs w:val="20"/>
    </w:rPr>
  </w:style>
  <w:style w:type="character" w:customStyle="1" w:styleId="ac">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d">
    <w:name w:val="List Paragraph"/>
    <w:basedOn w:val="a"/>
    <w:uiPriority w:val="34"/>
    <w:qFormat/>
    <w:rsid w:val="007E2DAD"/>
    <w:pPr>
      <w:ind w:firstLineChars="200" w:firstLine="420"/>
    </w:pPr>
    <w:rPr>
      <w:rFonts w:ascii="Calibri" w:hAnsi="Calibri" w:cs="Times New Roman"/>
      <w:szCs w:val="22"/>
    </w:rPr>
  </w:style>
  <w:style w:type="paragraph" w:styleId="ae">
    <w:name w:val="Document Map"/>
    <w:basedOn w:val="a"/>
    <w:link w:val="Char5"/>
    <w:rsid w:val="00A011B6"/>
    <w:rPr>
      <w:rFonts w:ascii="宋体"/>
      <w:sz w:val="18"/>
      <w:szCs w:val="18"/>
    </w:rPr>
  </w:style>
  <w:style w:type="character" w:customStyle="1" w:styleId="Char5">
    <w:name w:val="文档结构图 Char"/>
    <w:basedOn w:val="a1"/>
    <w:link w:val="ae"/>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0">
    <w:name w:val="No Spacing"/>
    <w:uiPriority w:val="1"/>
    <w:qFormat/>
    <w:rsid w:val="00CC08FC"/>
    <w:pPr>
      <w:widowControl w:val="0"/>
      <w:jc w:val="both"/>
    </w:pPr>
    <w:rPr>
      <w:kern w:val="2"/>
      <w:sz w:val="21"/>
      <w:szCs w:val="22"/>
    </w:rPr>
  </w:style>
  <w:style w:type="paragraph" w:customStyle="1" w:styleId="af1">
    <w:basedOn w:val="a"/>
    <w:next w:val="ad"/>
    <w:uiPriority w:val="34"/>
    <w:qFormat/>
    <w:rsid w:val="004E7B7D"/>
    <w:pPr>
      <w:ind w:firstLineChars="200" w:firstLine="420"/>
    </w:pPr>
    <w:rPr>
      <w:rFonts w:cs="Times New Roman"/>
    </w:rPr>
  </w:style>
  <w:style w:type="paragraph" w:styleId="af2">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Char">
    <w:name w:val="标题 3 Char"/>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 w:type="character" w:customStyle="1" w:styleId="Char6">
    <w:name w:val="正文文本 Char"/>
    <w:link w:val="af3"/>
    <w:rsid w:val="00332A64"/>
    <w:rPr>
      <w:rFonts w:ascii="宋体"/>
      <w:b/>
      <w:bCs/>
      <w:kern w:val="2"/>
      <w:sz w:val="36"/>
      <w:szCs w:val="24"/>
    </w:rPr>
  </w:style>
  <w:style w:type="paragraph" w:styleId="af3">
    <w:name w:val="Body Text"/>
    <w:basedOn w:val="a"/>
    <w:link w:val="Char6"/>
    <w:rsid w:val="00332A64"/>
    <w:pPr>
      <w:jc w:val="center"/>
    </w:pPr>
    <w:rPr>
      <w:rFonts w:ascii="宋体" w:eastAsiaTheme="minorEastAsia" w:hAnsiTheme="minorHAnsi" w:cstheme="minorBidi"/>
      <w:b/>
      <w:bCs/>
      <w:sz w:val="36"/>
    </w:rPr>
  </w:style>
  <w:style w:type="character" w:customStyle="1" w:styleId="Char10">
    <w:name w:val="正文文本 Char1"/>
    <w:basedOn w:val="a1"/>
    <w:link w:val="af3"/>
    <w:semiHidden/>
    <w:rsid w:val="00332A64"/>
    <w:rPr>
      <w:rFonts w:ascii="Times New Roman" w:eastAsia="宋体" w:hAnsi="Times New Roman" w:cs="宋体"/>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FDF4E4-C2E7-4737-97A3-5F9F009674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15991651641@139.com</cp:lastModifiedBy>
  <cp:revision>79</cp:revision>
  <dcterms:created xsi:type="dcterms:W3CDTF">2019-11-08T04:25:00Z</dcterms:created>
  <dcterms:modified xsi:type="dcterms:W3CDTF">2021-01-25T11:30:00Z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