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D98E" w14:textId="77777777" w:rsidR="007D6409" w:rsidRPr="006E6A41" w:rsidRDefault="00FD0A13" w:rsidP="006E6A41">
      <w:pPr>
        <w:jc w:val="center"/>
        <w:rPr>
          <w:rStyle w:val="NormalCharacter"/>
          <w:rFonts w:eastAsia="方正小标宋简体"/>
          <w:sz w:val="44"/>
          <w:szCs w:val="44"/>
        </w:rPr>
      </w:pPr>
      <w:r w:rsidRPr="008E6F31">
        <w:rPr>
          <w:rStyle w:val="NormalCharacter"/>
          <w:rFonts w:eastAsia="方正小标宋简体"/>
          <w:sz w:val="44"/>
          <w:szCs w:val="44"/>
        </w:rPr>
        <w:t>设备技术数</w:t>
      </w:r>
      <w:r w:rsidR="00FD448E">
        <w:rPr>
          <w:rStyle w:val="NormalCharacter"/>
          <w:rFonts w:eastAsia="方正小标宋简体"/>
          <w:sz w:val="44"/>
          <w:szCs w:val="44"/>
        </w:rPr>
        <w:t>会审</w:t>
      </w:r>
      <w:r w:rsidRPr="008E6F31">
        <w:rPr>
          <w:rStyle w:val="NormalCharacter"/>
          <w:rFonts w:eastAsia="方正小标宋简体"/>
          <w:sz w:val="44"/>
          <w:szCs w:val="44"/>
        </w:rPr>
        <w:t>表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44"/>
        <w:gridCol w:w="2025"/>
        <w:gridCol w:w="265"/>
        <w:gridCol w:w="1992"/>
        <w:gridCol w:w="1012"/>
        <w:gridCol w:w="801"/>
        <w:gridCol w:w="2469"/>
      </w:tblGrid>
      <w:tr w:rsidR="007D6409" w14:paraId="7E6F2FAD" w14:textId="77777777" w:rsidTr="00AB32D7">
        <w:trPr>
          <w:jc w:val="center"/>
        </w:trPr>
        <w:tc>
          <w:tcPr>
            <w:tcW w:w="9808" w:type="dxa"/>
            <w:gridSpan w:val="7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C2CD" w14:textId="77777777" w:rsidR="007D6409" w:rsidRDefault="00CA7EAB" w:rsidP="00CA7EAB">
            <w:pPr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 w:rsidR="007D6409" w14:paraId="28A26407" w14:textId="77777777" w:rsidTr="00AB32D7">
        <w:trPr>
          <w:trHeight w:val="467"/>
          <w:jc w:val="center"/>
        </w:trPr>
        <w:tc>
          <w:tcPr>
            <w:tcW w:w="9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EDC5" w14:textId="77777777" w:rsidR="007D6409" w:rsidRDefault="002D4828" w:rsidP="00D7094A">
            <w:pPr>
              <w:ind w:firstLineChars="200" w:firstLine="42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  <w:r w:rsidRPr="00561E31">
              <w:rPr>
                <w:rStyle w:val="NormalCharacter"/>
                <w:rFonts w:ascii="宋体" w:hAnsi="宋体"/>
              </w:rPr>
              <w:t>六个检测通道</w:t>
            </w:r>
            <w:r>
              <w:rPr>
                <w:rStyle w:val="NormalCharacter"/>
                <w:rFonts w:ascii="宋体" w:hAnsi="宋体"/>
              </w:rPr>
              <w:t>；样品容量96孔和384孔</w:t>
            </w:r>
            <w:r>
              <w:rPr>
                <w:rStyle w:val="NormalCharacter"/>
                <w:szCs w:val="21"/>
              </w:rPr>
              <w:t>。</w:t>
            </w:r>
          </w:p>
        </w:tc>
      </w:tr>
      <w:tr w:rsidR="007D6409" w14:paraId="63115C45" w14:textId="77777777" w:rsidTr="00AB32D7">
        <w:trPr>
          <w:jc w:val="center"/>
        </w:trPr>
        <w:tc>
          <w:tcPr>
            <w:tcW w:w="9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22A0" w14:textId="77777777" w:rsidR="007D6409" w:rsidRDefault="00CA7EAB" w:rsidP="00CA7EAB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 w:rsidR="007D6409" w14:paraId="50CD7097" w14:textId="77777777" w:rsidTr="00AB32D7">
        <w:trPr>
          <w:trHeight w:val="474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9E8E" w14:textId="77777777" w:rsidR="007D6409" w:rsidRDefault="00CA7EA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7F1C" w14:textId="77777777" w:rsidR="007D6409" w:rsidRDefault="00CA7EA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20A1" w14:textId="77777777" w:rsidR="007D6409" w:rsidRDefault="00CA7EA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7D6409" w14:paraId="39D280D2" w14:textId="77777777" w:rsidTr="00AB32D7">
        <w:trPr>
          <w:trHeight w:val="402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238" w14:textId="77777777" w:rsidR="007D6409" w:rsidRDefault="00CA7EA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57BA" w14:textId="77777777" w:rsidR="007D6409" w:rsidRDefault="00B46F31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六</w:t>
            </w:r>
            <w:r w:rsidR="002D4828">
              <w:rPr>
                <w:rStyle w:val="NormalCharacter"/>
                <w:rFonts w:ascii="宋体" w:hAnsi="宋体"/>
                <w:szCs w:val="21"/>
              </w:rPr>
              <w:t>通道荧光定量主机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5E4E" w14:textId="77777777" w:rsidR="007D6409" w:rsidRDefault="002D4828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1台</w:t>
            </w:r>
          </w:p>
        </w:tc>
      </w:tr>
      <w:tr w:rsidR="007D6409" w14:paraId="7959D680" w14:textId="77777777" w:rsidTr="00AB32D7">
        <w:trPr>
          <w:trHeight w:val="402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D1C1" w14:textId="77777777" w:rsidR="007D6409" w:rsidRDefault="00DE73C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B9C5" w14:textId="77777777" w:rsidR="007D6409" w:rsidRDefault="002D4828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 w:rsidRPr="00561E31">
              <w:rPr>
                <w:rStyle w:val="NormalCharacter"/>
                <w:rFonts w:ascii="宋体" w:hAnsi="宋体"/>
              </w:rPr>
              <w:t>控制分析软件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A08B" w14:textId="77777777" w:rsidR="007D6409" w:rsidRDefault="002D4828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7D6409" w14:paraId="1B2C7A2C" w14:textId="77777777" w:rsidTr="00AB32D7">
        <w:trPr>
          <w:trHeight w:val="402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DCD2" w14:textId="77777777" w:rsidR="007D6409" w:rsidRDefault="00DE73C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228D" w14:textId="77777777" w:rsidR="007D6409" w:rsidRDefault="00A10032" w:rsidP="00CA7EAB">
            <w:pPr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HRM分析软件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7940" w14:textId="77777777" w:rsidR="007D6409" w:rsidRDefault="00A10032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 w:rsidR="007D6409" w14:paraId="13685F5F" w14:textId="77777777" w:rsidTr="00AB32D7">
        <w:trPr>
          <w:trHeight w:val="402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AF5F" w14:textId="77777777" w:rsidR="007D6409" w:rsidRDefault="00DE73CB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8AA2" w14:textId="77777777" w:rsidR="007D6409" w:rsidRDefault="002D4828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</w:rPr>
              <w:t>电脑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2864" w14:textId="77777777" w:rsidR="007D6409" w:rsidRDefault="002D4828" w:rsidP="00CA7EAB">
            <w:pPr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7D6409" w14:paraId="213A522F" w14:textId="77777777" w:rsidTr="00AB32D7">
        <w:trPr>
          <w:jc w:val="center"/>
        </w:trPr>
        <w:tc>
          <w:tcPr>
            <w:tcW w:w="9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7E3B" w14:textId="77777777" w:rsidR="007D6409" w:rsidRDefault="00CA7EAB" w:rsidP="00CA7EAB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  <w:t>技术参数要求</w:t>
            </w:r>
          </w:p>
        </w:tc>
      </w:tr>
      <w:tr w:rsidR="007D6409" w14:paraId="11CC6932" w14:textId="77777777" w:rsidTr="00AB32D7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AA1E" w14:textId="77777777" w:rsidR="007D6409" w:rsidRDefault="00CA7EAB" w:rsidP="00CA7EA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20F5" w14:textId="77777777" w:rsidR="007D6409" w:rsidRDefault="00CA7EAB" w:rsidP="00CA7EA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指标名称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2B99" w14:textId="77777777" w:rsidR="007D6409" w:rsidRDefault="00CA7EAB" w:rsidP="00CA7EAB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技术参数</w:t>
            </w:r>
          </w:p>
        </w:tc>
      </w:tr>
      <w:tr w:rsidR="007D6409" w14:paraId="7E288185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6A1E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01A0" w14:textId="77777777" w:rsidR="007D6409" w:rsidRPr="00292A83" w:rsidRDefault="00292A83" w:rsidP="002D4828">
            <w:pPr>
              <w:tabs>
                <w:tab w:val="left" w:pos="180"/>
                <w:tab w:val="left" w:pos="540"/>
              </w:tabs>
              <w:spacing w:line="288" w:lineRule="auto"/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★</w:t>
            </w:r>
            <w:r w:rsidR="002D4828" w:rsidRPr="00292A83">
              <w:rPr>
                <w:rStyle w:val="NormalCharacter"/>
                <w:rFonts w:asciiTheme="minorEastAsia" w:eastAsiaTheme="minorEastAsia" w:hAnsiTheme="minorEastAsia"/>
              </w:rPr>
              <w:t>通道数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336" w14:textId="77777777" w:rsidR="007D6409" w:rsidRPr="00292A83" w:rsidRDefault="00B46F31" w:rsidP="00487771">
            <w:pPr>
              <w:ind w:leftChars="57" w:left="120" w:firstLineChars="50" w:firstLine="105"/>
              <w:rPr>
                <w:rStyle w:val="NormalCharacter"/>
                <w:rFonts w:asciiTheme="minorEastAsia" w:eastAsiaTheme="minorEastAsia" w:hAnsiTheme="minorEastAsia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六</w:t>
            </w:r>
            <w:r w:rsidR="002D4828" w:rsidRPr="00292A83">
              <w:rPr>
                <w:rStyle w:val="NormalCharacter"/>
                <w:rFonts w:asciiTheme="minorEastAsia" w:eastAsiaTheme="minorEastAsia" w:hAnsiTheme="minorEastAsia"/>
              </w:rPr>
              <w:t>个检测通道</w:t>
            </w:r>
          </w:p>
        </w:tc>
      </w:tr>
      <w:tr w:rsidR="007D6409" w14:paraId="3944CEA1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C286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8E96" w14:textId="77777777" w:rsidR="007D6409" w:rsidRPr="00292A83" w:rsidRDefault="002D4828" w:rsidP="002D4828">
            <w:pPr>
              <w:tabs>
                <w:tab w:val="num" w:pos="1272"/>
              </w:tabs>
              <w:spacing w:line="360" w:lineRule="auto"/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激发光源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C65E" w14:textId="77777777" w:rsidR="007D6409" w:rsidRPr="00292A83" w:rsidRDefault="00B46F31" w:rsidP="00487771">
            <w:pPr>
              <w:tabs>
                <w:tab w:val="num" w:pos="1272"/>
              </w:tabs>
              <w:ind w:leftChars="57" w:left="120" w:firstLineChars="50" w:firstLine="105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Cs w:val="21"/>
              </w:rPr>
              <w:t>高强度白光LED</w:t>
            </w:r>
          </w:p>
        </w:tc>
      </w:tr>
      <w:tr w:rsidR="007D6409" w14:paraId="3E31DE9B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BF19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D5EE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检测器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FFF9" w14:textId="77777777" w:rsidR="007D6409" w:rsidRPr="00292A83" w:rsidRDefault="00B46F31" w:rsidP="00487771">
            <w:pPr>
              <w:tabs>
                <w:tab w:val="num" w:pos="1272"/>
              </w:tabs>
              <w:ind w:leftChars="57" w:left="120" w:firstLineChars="50" w:firstLine="105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Cs w:val="21"/>
              </w:rPr>
              <w:t>冷CCD，</w:t>
            </w:r>
            <w:r w:rsidRPr="00292A83">
              <w:rPr>
                <w:rStyle w:val="NormalCharacter"/>
                <w:rFonts w:asciiTheme="minorEastAsia" w:eastAsiaTheme="minorEastAsia" w:hAnsiTheme="minorEastAsia"/>
              </w:rPr>
              <w:t>工作温度15℃</w:t>
            </w:r>
          </w:p>
        </w:tc>
      </w:tr>
      <w:tr w:rsidR="007D6409" w14:paraId="61D17463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B08F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2608" w14:textId="77777777" w:rsidR="007D6409" w:rsidRPr="00292A83" w:rsidRDefault="002D4828" w:rsidP="002D4828">
            <w:pPr>
              <w:spacing w:line="360" w:lineRule="auto"/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温度准确性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D0B5" w14:textId="77777777" w:rsidR="007D6409" w:rsidRPr="00292A83" w:rsidRDefault="002D4828" w:rsidP="00487771">
            <w:pPr>
              <w:ind w:leftChars="57" w:left="120" w:firstLineChars="50" w:firstLine="105"/>
              <w:jc w:val="left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±0.2℃</w:t>
            </w:r>
          </w:p>
        </w:tc>
      </w:tr>
      <w:tr w:rsidR="007D6409" w14:paraId="35F3B65E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E27E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BE2A" w14:textId="77777777" w:rsidR="007D6409" w:rsidRPr="00292A83" w:rsidRDefault="00487771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★</w:t>
            </w:r>
            <w:r w:rsidR="002D4828" w:rsidRPr="00292A83">
              <w:rPr>
                <w:rStyle w:val="NormalCharacter"/>
                <w:rFonts w:asciiTheme="minorEastAsia" w:eastAsiaTheme="minorEastAsia" w:hAnsiTheme="minorEastAsia"/>
              </w:rPr>
              <w:t>温度均一性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022F" w14:textId="77777777" w:rsidR="007D6409" w:rsidRPr="00292A83" w:rsidRDefault="002D4828" w:rsidP="00487771">
            <w:pPr>
              <w:spacing w:line="360" w:lineRule="auto"/>
              <w:ind w:leftChars="57" w:left="120" w:firstLineChars="50" w:firstLine="105"/>
              <w:jc w:val="left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±</w:t>
            </w:r>
            <w:r w:rsidR="00B46F31" w:rsidRPr="00292A83">
              <w:rPr>
                <w:rStyle w:val="NormalCharacter"/>
                <w:rFonts w:asciiTheme="minorEastAsia" w:eastAsiaTheme="minorEastAsia" w:hAnsiTheme="minorEastAsia"/>
              </w:rPr>
              <w:t>0.2</w:t>
            </w:r>
            <w:r w:rsidRPr="00292A83">
              <w:rPr>
                <w:rStyle w:val="NormalCharacter"/>
                <w:rFonts w:asciiTheme="minorEastAsia" w:eastAsiaTheme="minorEastAsia" w:hAnsiTheme="minorEastAsia"/>
              </w:rPr>
              <w:t>℃</w:t>
            </w:r>
          </w:p>
        </w:tc>
      </w:tr>
      <w:tr w:rsidR="007D6409" w14:paraId="0E10843C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0033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C62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</w:rPr>
              <w:t>样品容量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35A3" w14:textId="77777777" w:rsidR="007D6409" w:rsidRPr="00292A83" w:rsidRDefault="00B46F31" w:rsidP="00487771">
            <w:pPr>
              <w:pStyle w:val="UserStyle3"/>
              <w:ind w:leftChars="57" w:left="120" w:firstLineChars="50" w:firstLine="110"/>
              <w:rPr>
                <w:rStyle w:val="NormalCharacter"/>
                <w:rFonts w:asciiTheme="minorEastAsia" w:eastAsiaTheme="minorEastAsia" w:hAnsiTheme="minorEastAsia"/>
                <w:kern w:val="2"/>
                <w:sz w:val="21"/>
                <w:szCs w:val="21"/>
                <w:lang w:eastAsia="zh-CN" w:bidi="ar-SA"/>
              </w:rPr>
            </w:pPr>
            <w:r w:rsidRPr="00292A83">
              <w:rPr>
                <w:rStyle w:val="NormalCharacter"/>
                <w:rFonts w:asciiTheme="minorEastAsia" w:eastAsiaTheme="minorEastAsia" w:hAnsiTheme="minorEastAsia"/>
                <w:lang w:eastAsia="zh-CN"/>
              </w:rPr>
              <w:t>96孔和</w:t>
            </w:r>
            <w:r w:rsidR="002D4828" w:rsidRPr="00292A83">
              <w:rPr>
                <w:rStyle w:val="NormalCharacter"/>
                <w:rFonts w:asciiTheme="minorEastAsia" w:eastAsiaTheme="minorEastAsia" w:hAnsiTheme="minorEastAsia"/>
              </w:rPr>
              <w:t>384孔</w:t>
            </w:r>
          </w:p>
        </w:tc>
      </w:tr>
      <w:tr w:rsidR="007D6409" w14:paraId="49461C4F" w14:textId="77777777" w:rsidTr="00AB32D7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B95B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7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9D71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反应体系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D989" w14:textId="77777777" w:rsidR="007D6409" w:rsidRPr="00292A83" w:rsidRDefault="00B46F31" w:rsidP="00487771">
            <w:pPr>
              <w:ind w:leftChars="57" w:left="120" w:firstLineChars="50" w:firstLine="105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10-100ul</w:t>
            </w:r>
          </w:p>
        </w:tc>
      </w:tr>
      <w:tr w:rsidR="007D6409" w14:paraId="5D985D8A" w14:textId="77777777" w:rsidTr="00AB32D7">
        <w:trPr>
          <w:trHeight w:hRule="exact" w:val="7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DBD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8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69BC" w14:textId="77777777" w:rsidR="007D6409" w:rsidRPr="00292A83" w:rsidRDefault="00487771" w:rsidP="00B46F31">
            <w:pPr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★</w:t>
            </w:r>
            <w:r w:rsidR="00B46F31" w:rsidRPr="00292A83">
              <w:rPr>
                <w:rStyle w:val="NormalCharacter"/>
                <w:rFonts w:asciiTheme="majorEastAsia" w:eastAsiaTheme="majorEastAsia" w:hAnsiTheme="majorEastAsia"/>
              </w:rPr>
              <w:t>模块互换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3579" w14:textId="77777777" w:rsidR="007D6409" w:rsidRPr="00292A83" w:rsidRDefault="00B46F31" w:rsidP="00487771">
            <w:pPr>
              <w:spacing w:before="120" w:after="120"/>
              <w:ind w:leftChars="57" w:left="120" w:firstLineChars="50" w:firstLine="105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96和384模块可自行更换，自行手动更换后无需校准</w:t>
            </w:r>
          </w:p>
        </w:tc>
      </w:tr>
      <w:tr w:rsidR="007D6409" w14:paraId="3A23A97F" w14:textId="77777777" w:rsidTr="00AB32D7">
        <w:trPr>
          <w:trHeight w:hRule="exact" w:val="7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5744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9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A744" w14:textId="77777777" w:rsidR="007D6409" w:rsidRPr="00292A83" w:rsidRDefault="00487771" w:rsidP="00B46F31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★</w:t>
            </w:r>
            <w:r w:rsidR="00B46F31" w:rsidRPr="00292A83">
              <w:rPr>
                <w:rStyle w:val="NormalCharacter"/>
                <w:rFonts w:asciiTheme="majorEastAsia" w:eastAsiaTheme="majorEastAsia" w:hAnsiTheme="majorEastAsia"/>
              </w:rPr>
              <w:t>高分辨率熔解曲线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B431" w14:textId="77777777" w:rsidR="007D6409" w:rsidRPr="00292A83" w:rsidRDefault="00B46F31" w:rsidP="00373616">
            <w:pPr>
              <w:tabs>
                <w:tab w:val="num" w:pos="1272"/>
              </w:tabs>
              <w:ind w:leftChars="107" w:left="261" w:hangingChars="17" w:hanging="36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反应时间：&lt;12分钟（65-95℃，整板每℃采集25次数据时，可提供实际软件截图证明）</w:t>
            </w:r>
          </w:p>
        </w:tc>
      </w:tr>
      <w:tr w:rsidR="007D6409" w14:paraId="2B956660" w14:textId="77777777" w:rsidTr="00AB32D7">
        <w:trPr>
          <w:trHeight w:val="54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43FC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10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BBAA" w14:textId="77777777" w:rsidR="007D6409" w:rsidRPr="00292A83" w:rsidRDefault="00487771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Cs w:val="21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★</w:t>
            </w:r>
            <w:r w:rsidR="00B46F31" w:rsidRPr="00292A83">
              <w:rPr>
                <w:rStyle w:val="NormalCharacter"/>
                <w:rFonts w:asciiTheme="majorEastAsia" w:eastAsiaTheme="majorEastAsia" w:hAnsiTheme="majorEastAsia"/>
              </w:rPr>
              <w:t>所有样本同时检测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4D8A" w14:textId="77777777" w:rsidR="007D6409" w:rsidRPr="00292A83" w:rsidRDefault="00B46F31" w:rsidP="00487771">
            <w:pPr>
              <w:tabs>
                <w:tab w:val="num" w:pos="1272"/>
              </w:tabs>
              <w:ind w:leftChars="57" w:left="120" w:firstLineChars="50" w:firstLine="105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支持，所有样本同时激发并采集数据，孔间无时间差</w:t>
            </w:r>
          </w:p>
        </w:tc>
      </w:tr>
      <w:tr w:rsidR="007D6409" w14:paraId="1EDC20FE" w14:textId="77777777" w:rsidTr="00AB32D7">
        <w:trPr>
          <w:trHeight w:val="46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300B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11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CE32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激发/发射波长范围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107B" w14:textId="77777777" w:rsidR="007D6409" w:rsidRPr="00292A83" w:rsidRDefault="00B46F31" w:rsidP="00487771">
            <w:pPr>
              <w:ind w:leftChars="57" w:left="120" w:firstLineChars="50" w:firstLine="105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390</w:t>
            </w:r>
            <w:r w:rsidR="002D4828" w:rsidRPr="00292A83">
              <w:rPr>
                <w:rStyle w:val="NormalCharacter"/>
                <w:rFonts w:asciiTheme="majorEastAsia" w:eastAsiaTheme="majorEastAsia" w:hAnsiTheme="majorEastAsia"/>
              </w:rPr>
              <w:t>0-690nm</w:t>
            </w:r>
            <w:r w:rsidRPr="00292A83">
              <w:rPr>
                <w:rStyle w:val="NormalCharacter"/>
                <w:rFonts w:asciiTheme="majorEastAsia" w:eastAsiaTheme="majorEastAsia" w:hAnsiTheme="majorEastAsia"/>
              </w:rPr>
              <w:t>，连续不间断</w:t>
            </w:r>
          </w:p>
        </w:tc>
      </w:tr>
      <w:tr w:rsidR="007D6409" w14:paraId="30A70E89" w14:textId="77777777" w:rsidTr="00AB32D7">
        <w:trPr>
          <w:trHeight w:val="46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6FBC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12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79BB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灵敏度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CD47" w14:textId="77777777" w:rsidR="007D6409" w:rsidRPr="00292A83" w:rsidRDefault="002D4828" w:rsidP="00487771">
            <w:pPr>
              <w:ind w:leftChars="57" w:left="120" w:firstLineChars="50" w:firstLine="105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能检测人类基因组中单拷贝基因</w:t>
            </w:r>
          </w:p>
        </w:tc>
      </w:tr>
      <w:tr w:rsidR="007D6409" w14:paraId="1D8B35AB" w14:textId="77777777" w:rsidTr="00AB32D7">
        <w:trPr>
          <w:trHeight w:val="46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6D45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13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BF30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动态范围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8D73" w14:textId="77777777" w:rsidR="007D6409" w:rsidRPr="00292A83" w:rsidRDefault="002D4828" w:rsidP="00487771">
            <w:pPr>
              <w:ind w:leftChars="57" w:left="120" w:firstLineChars="50" w:firstLine="105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10个数量级</w:t>
            </w:r>
          </w:p>
        </w:tc>
      </w:tr>
      <w:tr w:rsidR="007D6409" w14:paraId="1F38F551" w14:textId="77777777" w:rsidTr="00AB32D7">
        <w:trPr>
          <w:trHeight w:hRule="exact" w:val="71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A024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lastRenderedPageBreak/>
              <w:t>14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2F57" w14:textId="77777777" w:rsidR="007D6409" w:rsidRPr="00292A83" w:rsidRDefault="00487771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★</w:t>
            </w:r>
            <w:r w:rsidR="00B46F31" w:rsidRPr="00292A83">
              <w:rPr>
                <w:rStyle w:val="NormalCharacter"/>
                <w:rFonts w:asciiTheme="majorEastAsia" w:eastAsiaTheme="majorEastAsia" w:hAnsiTheme="majorEastAsia"/>
              </w:rPr>
              <w:t>光路设计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E12B" w14:textId="77777777" w:rsidR="007D6409" w:rsidRPr="00292A83" w:rsidRDefault="00B46F31" w:rsidP="00373616">
            <w:pPr>
              <w:tabs>
                <w:tab w:val="num" w:pos="1272"/>
              </w:tabs>
              <w:ind w:leftChars="107" w:left="261" w:hangingChars="17" w:hanging="36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全固定光路设计，无移动机械部件，激发光源与检测系统在工作中无需移动，保证系统稳定性</w:t>
            </w:r>
          </w:p>
        </w:tc>
      </w:tr>
      <w:tr w:rsidR="007D6409" w14:paraId="4C834E52" w14:textId="77777777" w:rsidTr="00AB32D7">
        <w:trPr>
          <w:trHeight w:hRule="exact" w:val="103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F994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15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A076" w14:textId="77777777" w:rsidR="007D6409" w:rsidRPr="00292A83" w:rsidRDefault="002D4828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数据分析模式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8A0F" w14:textId="77777777" w:rsidR="007D6409" w:rsidRPr="00292A83" w:rsidRDefault="002D4828" w:rsidP="00373616">
            <w:pPr>
              <w:ind w:leftChars="107" w:left="261" w:hangingChars="17" w:hanging="36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标准曲线定量、熔解曲线、CT 或ΔΔCT 基因表达分析、多内参基因分析和扩增效率计算、多个数据文件的基因表达分析、等位基因分析、终点分析、具有等位基因、熔解曲线分析功能。</w:t>
            </w:r>
          </w:p>
        </w:tc>
      </w:tr>
      <w:tr w:rsidR="007D6409" w14:paraId="79747C09" w14:textId="77777777" w:rsidTr="00AB32D7">
        <w:trPr>
          <w:trHeight w:hRule="exact" w:val="563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76C7" w14:textId="77777777" w:rsidR="007D6409" w:rsidRPr="00292A83" w:rsidRDefault="00F0434B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  <w:sz w:val="24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16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AC13" w14:textId="77777777" w:rsidR="007D6409" w:rsidRPr="00292A83" w:rsidRDefault="00487771" w:rsidP="002D4828">
            <w:pPr>
              <w:jc w:val="center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  <w:sz w:val="24"/>
              </w:rPr>
              <w:t>★</w:t>
            </w:r>
            <w:r w:rsidR="00F0434B" w:rsidRPr="00292A83">
              <w:rPr>
                <w:rStyle w:val="NormalCharacter"/>
                <w:rFonts w:asciiTheme="majorEastAsia" w:eastAsiaTheme="majorEastAsia" w:hAnsiTheme="majorEastAsia"/>
              </w:rPr>
              <w:t>注册证书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3170" w14:textId="77777777" w:rsidR="007D6409" w:rsidRPr="00292A83" w:rsidRDefault="00F0434B" w:rsidP="00373616">
            <w:pPr>
              <w:ind w:leftChars="124" w:left="260"/>
              <w:rPr>
                <w:rStyle w:val="NormalCharacter"/>
                <w:rFonts w:asciiTheme="majorEastAsia" w:eastAsiaTheme="majorEastAsia" w:hAnsiTheme="majorEastAsia"/>
              </w:rPr>
            </w:pPr>
            <w:r w:rsidRPr="00292A83">
              <w:rPr>
                <w:rStyle w:val="NormalCharacter"/>
                <w:rFonts w:asciiTheme="majorEastAsia" w:eastAsiaTheme="majorEastAsia" w:hAnsiTheme="majorEastAsia"/>
              </w:rPr>
              <w:t>提供有效期内的第三类CFDA注册证</w:t>
            </w:r>
          </w:p>
        </w:tc>
      </w:tr>
      <w:tr w:rsidR="007D6409" w14:paraId="22D24E91" w14:textId="77777777" w:rsidTr="00AB32D7">
        <w:trPr>
          <w:trHeight w:hRule="exact" w:val="746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6A1F" w14:textId="77777777" w:rsidR="007D6409" w:rsidRDefault="00CA7EAB" w:rsidP="00CA7EAB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需求科室负责人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DCAF" w14:textId="77777777" w:rsidR="007D6409" w:rsidRDefault="007D6409" w:rsidP="00CA7EAB">
            <w:pPr>
              <w:spacing w:line="360" w:lineRule="auto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12F9" w14:textId="77777777" w:rsidR="007D6409" w:rsidRDefault="00CA7EAB" w:rsidP="00CA7EAB">
            <w:pPr>
              <w:spacing w:line="360" w:lineRule="auto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机关业务部门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956D" w14:textId="77777777" w:rsidR="007D6409" w:rsidRDefault="007D6409" w:rsidP="00CA7EAB">
            <w:pPr>
              <w:spacing w:line="360" w:lineRule="auto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7D6409" w14:paraId="0CFC78B9" w14:textId="77777777" w:rsidTr="00AB32D7">
        <w:trPr>
          <w:trHeight w:hRule="exact" w:val="2874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D97" w14:textId="77777777" w:rsidR="007D6409" w:rsidRDefault="00CA7EAB" w:rsidP="00CA7EAB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专家组</w:t>
            </w:r>
          </w:p>
        </w:tc>
        <w:tc>
          <w:tcPr>
            <w:tcW w:w="8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0D8B" w14:textId="77777777" w:rsidR="007D6409" w:rsidRDefault="007D6409" w:rsidP="00CA7EAB">
            <w:pPr>
              <w:spacing w:line="360" w:lineRule="auto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14:paraId="4CB001E9" w14:textId="77777777" w:rsidR="007D6409" w:rsidRDefault="004E315C" w:rsidP="0013305D">
      <w:pPr>
        <w:ind w:left="720" w:hangingChars="300" w:hanging="720"/>
        <w:rPr>
          <w:rStyle w:val="NormalCharacter"/>
          <w:rFonts w:ascii="仿宋_GB2312" w:eastAsia="仿宋_GB2312"/>
          <w:sz w:val="24"/>
        </w:rPr>
      </w:pPr>
      <w:r w:rsidRPr="00FF5303">
        <w:rPr>
          <w:rStyle w:val="NormalCharacter"/>
          <w:rFonts w:ascii="仿宋_GB2312" w:eastAsia="仿宋_GB2312"/>
          <w:sz w:val="24"/>
        </w:rPr>
        <w:t>说明: 功能要求、配置清单为必备要求，从功能角度提出；技术参数</w:t>
      </w:r>
      <w:r>
        <w:rPr>
          <w:rStyle w:val="NormalCharacter"/>
          <w:rFonts w:ascii="仿宋_GB2312" w:eastAsia="仿宋_GB2312"/>
          <w:sz w:val="24"/>
        </w:rPr>
        <w:t>应体现设备档次要求，参数中区分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、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参数，其中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参数为核心参数，为必须满足参数；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参数为重要参数，在采购评审中分值较高。</w:t>
      </w:r>
    </w:p>
    <w:sectPr w:rsidR="007D6409" w:rsidSect="007D6409">
      <w:pgSz w:w="11907" w:h="16840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3138" w14:textId="77777777" w:rsidR="0035534A" w:rsidRDefault="0035534A" w:rsidP="006E6A41">
      <w:r>
        <w:separator/>
      </w:r>
    </w:p>
  </w:endnote>
  <w:endnote w:type="continuationSeparator" w:id="0">
    <w:p w14:paraId="478617DE" w14:textId="77777777" w:rsidR="0035534A" w:rsidRDefault="0035534A" w:rsidP="006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550E" w14:textId="77777777" w:rsidR="0035534A" w:rsidRDefault="0035534A" w:rsidP="006E6A41">
      <w:r>
        <w:separator/>
      </w:r>
    </w:p>
  </w:footnote>
  <w:footnote w:type="continuationSeparator" w:id="0">
    <w:p w14:paraId="54500809" w14:textId="77777777" w:rsidR="0035534A" w:rsidRDefault="0035534A" w:rsidP="006E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205A2"/>
    <w:multiLevelType w:val="multilevel"/>
    <w:tmpl w:val="0409001D"/>
    <w:lvl w:ilvl="0">
      <w:start w:val="1"/>
      <w:numFmt w:val="decimal"/>
      <w:lvlText w:val="%1"/>
      <w:lvlJc w:val="left"/>
      <w:pPr>
        <w:widowControl/>
        <w:ind w:left="425" w:hanging="425"/>
        <w:textAlignment w:val="baseline"/>
      </w:pPr>
    </w:lvl>
    <w:lvl w:ilvl="1">
      <w:start w:val="1"/>
      <w:numFmt w:val="decimal"/>
      <w:lvlText w:val="%1.%2"/>
      <w:lvlJc w:val="left"/>
      <w:pPr>
        <w:widowControl/>
        <w:ind w:left="992" w:hanging="567"/>
        <w:textAlignment w:val="baseline"/>
      </w:pPr>
    </w:lvl>
    <w:lvl w:ilvl="2">
      <w:start w:val="1"/>
      <w:numFmt w:val="decimal"/>
      <w:lvlText w:val="%1.%2.%3"/>
      <w:lvlJc w:val="left"/>
      <w:pPr>
        <w:widowControl/>
        <w:ind w:left="1418" w:hanging="567"/>
        <w:textAlignment w:val="baseline"/>
      </w:pPr>
    </w:lvl>
    <w:lvl w:ilvl="3">
      <w:start w:val="1"/>
      <w:numFmt w:val="decimal"/>
      <w:lvlText w:val="%1.%2.%3.%4"/>
      <w:lvlJc w:val="left"/>
      <w:pPr>
        <w:widowControl/>
        <w:ind w:left="1984" w:hanging="708"/>
        <w:textAlignment w:val="baseline"/>
      </w:pPr>
    </w:lvl>
    <w:lvl w:ilvl="4">
      <w:start w:val="1"/>
      <w:numFmt w:val="decimal"/>
      <w:lvlText w:val="%1.%2.%3.%4.%5"/>
      <w:lvlJc w:val="left"/>
      <w:pPr>
        <w:widowControl/>
        <w:ind w:left="2551" w:hanging="850"/>
        <w:textAlignment w:val="baseline"/>
      </w:pPr>
    </w:lvl>
    <w:lvl w:ilvl="5">
      <w:start w:val="1"/>
      <w:numFmt w:val="decimal"/>
      <w:lvlText w:val="%1.%2.%3.%4.%5.%6"/>
      <w:lvlJc w:val="left"/>
      <w:pPr>
        <w:widowControl/>
        <w:ind w:left="3260" w:hanging="1134"/>
        <w:textAlignment w:val="baseline"/>
      </w:pPr>
    </w:lvl>
    <w:lvl w:ilvl="6">
      <w:start w:val="1"/>
      <w:numFmt w:val="decimal"/>
      <w:lvlText w:val="%1.%2.%3.%4.%5.%6.%7"/>
      <w:lvlJc w:val="left"/>
      <w:pPr>
        <w:widowControl/>
        <w:ind w:left="3827" w:hanging="1276"/>
        <w:textAlignment w:val="baseline"/>
      </w:pPr>
    </w:lvl>
    <w:lvl w:ilvl="7">
      <w:start w:val="1"/>
      <w:numFmt w:val="decimal"/>
      <w:lvlText w:val="%1.%2.%3.%4.%5.%6.%7.%8"/>
      <w:lvlJc w:val="left"/>
      <w:pPr>
        <w:widowControl/>
        <w:ind w:left="4394" w:hanging="1418"/>
        <w:textAlignment w:val="baseline"/>
      </w:pPr>
    </w:lvl>
    <w:lvl w:ilvl="8">
      <w:start w:val="1"/>
      <w:numFmt w:val="decimal"/>
      <w:lvlText w:val="%1.%2.%3.%4.%5.%6.%7.%8.%9"/>
      <w:lvlJc w:val="left"/>
      <w:pPr>
        <w:widowControl/>
        <w:ind w:left="5102" w:hanging="170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09"/>
    <w:rsid w:val="0013305D"/>
    <w:rsid w:val="00163C37"/>
    <w:rsid w:val="002876D7"/>
    <w:rsid w:val="00292A83"/>
    <w:rsid w:val="002D4828"/>
    <w:rsid w:val="00331DAB"/>
    <w:rsid w:val="0035534A"/>
    <w:rsid w:val="00373616"/>
    <w:rsid w:val="003A6EA7"/>
    <w:rsid w:val="00404FD6"/>
    <w:rsid w:val="00487771"/>
    <w:rsid w:val="004E315C"/>
    <w:rsid w:val="004F40E7"/>
    <w:rsid w:val="00561E31"/>
    <w:rsid w:val="0068341E"/>
    <w:rsid w:val="006E6A41"/>
    <w:rsid w:val="006F2270"/>
    <w:rsid w:val="007060A0"/>
    <w:rsid w:val="007A514A"/>
    <w:rsid w:val="007D6409"/>
    <w:rsid w:val="008C2202"/>
    <w:rsid w:val="008E6F31"/>
    <w:rsid w:val="00932740"/>
    <w:rsid w:val="00A07033"/>
    <w:rsid w:val="00A10032"/>
    <w:rsid w:val="00A31AD4"/>
    <w:rsid w:val="00AB32D7"/>
    <w:rsid w:val="00AB3E4A"/>
    <w:rsid w:val="00B04357"/>
    <w:rsid w:val="00B46F31"/>
    <w:rsid w:val="00BD1D93"/>
    <w:rsid w:val="00C46B42"/>
    <w:rsid w:val="00CA7EAB"/>
    <w:rsid w:val="00CB0A26"/>
    <w:rsid w:val="00D44D6A"/>
    <w:rsid w:val="00D7094A"/>
    <w:rsid w:val="00DE73CB"/>
    <w:rsid w:val="00E02EAF"/>
    <w:rsid w:val="00E23807"/>
    <w:rsid w:val="00F0434B"/>
    <w:rsid w:val="00F87C79"/>
    <w:rsid w:val="00F9135D"/>
    <w:rsid w:val="00F96BF6"/>
    <w:rsid w:val="00FD0A13"/>
    <w:rsid w:val="00FD448E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86BA"/>
  <w15:docId w15:val="{DF5B287C-BEE6-4BA4-8AFC-977F4EF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D6409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7D6409"/>
  </w:style>
  <w:style w:type="table" w:customStyle="1" w:styleId="TableNormal">
    <w:name w:val="TableNormal"/>
    <w:semiHidden/>
    <w:rsid w:val="007D640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7D6409"/>
  </w:style>
  <w:style w:type="character" w:customStyle="1" w:styleId="PageNumber">
    <w:name w:val="PageNumber"/>
    <w:basedOn w:val="NormalCharacter"/>
    <w:rsid w:val="007D6409"/>
  </w:style>
  <w:style w:type="character" w:styleId="a3">
    <w:name w:val="Hyperlink"/>
    <w:rsid w:val="007D6409"/>
    <w:rPr>
      <w:color w:val="0000FF"/>
      <w:u w:val="single"/>
    </w:rPr>
  </w:style>
  <w:style w:type="paragraph" w:styleId="a4">
    <w:name w:val="Date"/>
    <w:basedOn w:val="a"/>
    <w:next w:val="a"/>
    <w:rsid w:val="007D6409"/>
    <w:pPr>
      <w:ind w:leftChars="2500" w:left="100"/>
    </w:pPr>
  </w:style>
  <w:style w:type="paragraph" w:customStyle="1" w:styleId="1">
    <w:name w:val="页眉1"/>
    <w:basedOn w:val="a"/>
    <w:rsid w:val="007D640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rsid w:val="007D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inText">
    <w:name w:val="PlainText"/>
    <w:basedOn w:val="a"/>
    <w:rsid w:val="007D6409"/>
    <w:rPr>
      <w:rFonts w:ascii="宋体" w:hAnsi="Courier New"/>
      <w:szCs w:val="21"/>
    </w:rPr>
  </w:style>
  <w:style w:type="paragraph" w:customStyle="1" w:styleId="UserStyle0">
    <w:name w:val="UserStyle_0"/>
    <w:basedOn w:val="PlainText"/>
    <w:rsid w:val="007D6409"/>
    <w:pPr>
      <w:spacing w:line="240" w:lineRule="atLeast"/>
    </w:pPr>
    <w:rPr>
      <w:sz w:val="28"/>
      <w:szCs w:val="24"/>
    </w:rPr>
  </w:style>
  <w:style w:type="table" w:customStyle="1" w:styleId="TableGrid">
    <w:name w:val="TableGrid"/>
    <w:basedOn w:val="TableNormal"/>
    <w:rsid w:val="007D6409"/>
    <w:tblPr/>
  </w:style>
  <w:style w:type="paragraph" w:customStyle="1" w:styleId="NavPane">
    <w:name w:val="NavPane"/>
    <w:basedOn w:val="a"/>
    <w:link w:val="UserStyle1"/>
    <w:rsid w:val="007D6409"/>
    <w:rPr>
      <w:rFonts w:ascii="宋体"/>
      <w:sz w:val="24"/>
    </w:rPr>
  </w:style>
  <w:style w:type="character" w:customStyle="1" w:styleId="UserStyle1">
    <w:name w:val="UserStyle_1"/>
    <w:link w:val="NavPane"/>
    <w:rsid w:val="007D6409"/>
    <w:rPr>
      <w:rFonts w:ascii="宋体"/>
      <w:kern w:val="2"/>
      <w:sz w:val="24"/>
      <w:szCs w:val="24"/>
    </w:rPr>
  </w:style>
  <w:style w:type="paragraph" w:customStyle="1" w:styleId="Acetate">
    <w:name w:val="Acetate"/>
    <w:basedOn w:val="a"/>
    <w:link w:val="UserStyle2"/>
    <w:rsid w:val="007D6409"/>
    <w:rPr>
      <w:sz w:val="18"/>
      <w:szCs w:val="18"/>
    </w:rPr>
  </w:style>
  <w:style w:type="character" w:customStyle="1" w:styleId="UserStyle2">
    <w:name w:val="UserStyle_2"/>
    <w:link w:val="Acetate"/>
    <w:rsid w:val="007D6409"/>
    <w:rPr>
      <w:kern w:val="2"/>
      <w:sz w:val="18"/>
      <w:szCs w:val="18"/>
    </w:rPr>
  </w:style>
  <w:style w:type="paragraph" w:customStyle="1" w:styleId="UserStyle3">
    <w:name w:val="UserStyle_3"/>
    <w:basedOn w:val="a"/>
    <w:rsid w:val="007D6409"/>
    <w:pPr>
      <w:ind w:left="153"/>
      <w:jc w:val="lef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6E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E6A4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E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E6A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刘晋熙</cp:lastModifiedBy>
  <cp:revision>8</cp:revision>
  <cp:lastPrinted>2020-12-23T08:48:00Z</cp:lastPrinted>
  <dcterms:created xsi:type="dcterms:W3CDTF">2020-07-29T15:09:00Z</dcterms:created>
  <dcterms:modified xsi:type="dcterms:W3CDTF">2021-04-28T02:35:00Z</dcterms:modified>
</cp:coreProperties>
</file>