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90" w:rsidRDefault="004C50E8">
      <w:pPr>
        <w:snapToGrid w:val="0"/>
        <w:jc w:val="center"/>
        <w:rPr>
          <w:rStyle w:val="NormalCharacter"/>
          <w:rFonts w:eastAsia="方正小标宋简体"/>
          <w:sz w:val="44"/>
          <w:szCs w:val="44"/>
        </w:rPr>
      </w:pPr>
      <w:r>
        <w:rPr>
          <w:rStyle w:val="NormalCharacter"/>
          <w:rFonts w:eastAsia="方正小标宋简体"/>
          <w:sz w:val="44"/>
          <w:szCs w:val="44"/>
        </w:rPr>
        <w:t>技术参数</w:t>
      </w:r>
      <w:bookmarkStart w:id="0" w:name="_GoBack"/>
      <w:bookmarkEnd w:id="0"/>
    </w:p>
    <w:p w:rsidR="003A3B90" w:rsidRPr="00074C43" w:rsidRDefault="00074C43" w:rsidP="00074C43">
      <w:pPr>
        <w:snapToGrid w:val="0"/>
        <w:ind w:left="-360"/>
        <w:jc w:val="center"/>
        <w:rPr>
          <w:rStyle w:val="NormalCharacter"/>
          <w:rFonts w:ascii="楷体_GB2312" w:eastAsia="楷体_GB2312"/>
          <w:b/>
          <w:sz w:val="24"/>
        </w:rPr>
      </w:pPr>
      <w:r>
        <w:rPr>
          <w:rStyle w:val="NormalCharacter"/>
          <w:rFonts w:ascii="楷体_GB2312" w:eastAsia="楷体_GB2312"/>
          <w:b/>
          <w:sz w:val="24"/>
        </w:rPr>
        <w:t xml:space="preserve">    </w:t>
      </w:r>
    </w:p>
    <w:tbl>
      <w:tblPr>
        <w:tblW w:w="9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876"/>
        <w:gridCol w:w="1148"/>
        <w:gridCol w:w="265"/>
        <w:gridCol w:w="3003"/>
        <w:gridCol w:w="314"/>
        <w:gridCol w:w="1504"/>
        <w:gridCol w:w="1450"/>
        <w:gridCol w:w="54"/>
      </w:tblGrid>
      <w:tr w:rsidR="003A3B90">
        <w:trPr>
          <w:trHeight w:val="755"/>
          <w:jc w:val="center"/>
        </w:trPr>
        <w:tc>
          <w:tcPr>
            <w:tcW w:w="211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设备名称</w:t>
            </w:r>
          </w:p>
        </w:tc>
        <w:tc>
          <w:tcPr>
            <w:tcW w:w="7738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 w:hint="eastAsia"/>
                <w:sz w:val="24"/>
              </w:rPr>
              <w:t>核酸/蛋白</w:t>
            </w:r>
            <w:r>
              <w:rPr>
                <w:rStyle w:val="NormalCharacter"/>
                <w:rFonts w:ascii="黑体" w:eastAsia="黑体"/>
                <w:sz w:val="24"/>
              </w:rPr>
              <w:t>生物分析</w:t>
            </w:r>
            <w:r>
              <w:rPr>
                <w:rStyle w:val="NormalCharacter"/>
                <w:rFonts w:ascii="黑体" w:eastAsia="黑体" w:hint="eastAsia"/>
                <w:sz w:val="24"/>
              </w:rPr>
              <w:t>仪</w:t>
            </w:r>
          </w:p>
        </w:tc>
      </w:tr>
      <w:tr w:rsidR="00074C43" w:rsidTr="0063255D">
        <w:trPr>
          <w:trHeight w:val="808"/>
          <w:jc w:val="center"/>
        </w:trPr>
        <w:tc>
          <w:tcPr>
            <w:tcW w:w="211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74C43" w:rsidRDefault="00074C43">
            <w:pPr>
              <w:snapToGrid w:val="0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 w:hint="eastAsia"/>
                <w:sz w:val="24"/>
              </w:rPr>
              <w:t>最高限价</w:t>
            </w:r>
          </w:p>
        </w:tc>
        <w:tc>
          <w:tcPr>
            <w:tcW w:w="7738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74C43" w:rsidRDefault="00074C43">
            <w:pPr>
              <w:snapToGrid w:val="0"/>
              <w:jc w:val="center"/>
              <w:rPr>
                <w:rStyle w:val="NormalCharacter"/>
                <w:rFonts w:ascii="楷体_GB2312" w:eastAsia="等线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人民币</w:t>
            </w:r>
            <w:r>
              <w:rPr>
                <w:rStyle w:val="NormalCharacter"/>
                <w:rFonts w:ascii="宋体" w:hAnsi="宋体" w:hint="eastAsia"/>
                <w:sz w:val="24"/>
              </w:rPr>
              <w:t>65.00</w:t>
            </w:r>
            <w:r>
              <w:rPr>
                <w:rStyle w:val="NormalCharacter"/>
                <w:rFonts w:ascii="宋体" w:hAnsi="宋体"/>
                <w:sz w:val="24"/>
              </w:rPr>
              <w:t>万元</w:t>
            </w:r>
            <w:r>
              <w:rPr>
                <w:rStyle w:val="NormalCharacter"/>
                <w:rFonts w:eastAsia="黑体"/>
                <w:sz w:val="24"/>
              </w:rPr>
              <w:t xml:space="preserve"> </w:t>
            </w:r>
          </w:p>
        </w:tc>
      </w:tr>
      <w:tr w:rsidR="00074C43">
        <w:trPr>
          <w:trHeight w:val="790"/>
          <w:jc w:val="center"/>
        </w:trPr>
        <w:tc>
          <w:tcPr>
            <w:tcW w:w="211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74C43" w:rsidRDefault="00074C43" w:rsidP="00073A40">
            <w:pPr>
              <w:snapToGrid w:val="0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设备数量</w:t>
            </w:r>
          </w:p>
        </w:tc>
        <w:tc>
          <w:tcPr>
            <w:tcW w:w="4730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74C43" w:rsidRDefault="00074C43" w:rsidP="00073A40">
            <w:pPr>
              <w:snapToGrid w:val="0"/>
              <w:jc w:val="center"/>
              <w:rPr>
                <w:rStyle w:val="NormalCharacter"/>
                <w:rFonts w:ascii="楷体_GB2312" w:eastAsia="等线"/>
                <w:sz w:val="24"/>
              </w:rPr>
            </w:pPr>
            <w:r>
              <w:rPr>
                <w:rStyle w:val="NormalCharacter"/>
                <w:rFonts w:ascii="楷体_GB2312" w:eastAsia="等线"/>
                <w:sz w:val="24"/>
              </w:rPr>
              <w:t xml:space="preserve"> 1</w:t>
            </w:r>
            <w:r>
              <w:rPr>
                <w:rStyle w:val="NormalCharacter"/>
                <w:rFonts w:ascii="楷体_GB2312" w:eastAsia="等线"/>
                <w:sz w:val="24"/>
              </w:rPr>
              <w:t>台</w:t>
            </w:r>
          </w:p>
        </w:tc>
        <w:tc>
          <w:tcPr>
            <w:tcW w:w="15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74C43" w:rsidRDefault="00074C43">
            <w:pPr>
              <w:snapToGrid w:val="0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是否进口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74C43" w:rsidRDefault="00074C43">
            <w:pPr>
              <w:snapToGrid w:val="0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☑</w:t>
            </w:r>
            <w:r>
              <w:rPr>
                <w:rStyle w:val="NormalCharacter"/>
                <w:rFonts w:ascii="黑体" w:eastAsia="黑体"/>
                <w:sz w:val="24"/>
              </w:rPr>
              <w:t xml:space="preserve">是 </w:t>
            </w:r>
            <w:r>
              <w:rPr>
                <w:rStyle w:val="NormalCharacter"/>
                <w:rFonts w:ascii="黑体" w:eastAsia="黑体" w:hint="eastAsia"/>
                <w:sz w:val="24"/>
              </w:rPr>
              <w:t>□</w:t>
            </w:r>
            <w:r>
              <w:rPr>
                <w:rStyle w:val="NormalCharacter"/>
                <w:rFonts w:ascii="黑体" w:eastAsia="黑体"/>
                <w:sz w:val="24"/>
              </w:rPr>
              <w:t>否</w:t>
            </w:r>
          </w:p>
        </w:tc>
      </w:tr>
      <w:tr w:rsidR="003A3B90">
        <w:trPr>
          <w:gridAfter w:val="1"/>
          <w:wAfter w:w="54" w:type="dxa"/>
          <w:jc w:val="center"/>
        </w:trPr>
        <w:tc>
          <w:tcPr>
            <w:tcW w:w="9803" w:type="dxa"/>
            <w:gridSpan w:val="8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>设备功能要求</w:t>
            </w:r>
          </w:p>
        </w:tc>
      </w:tr>
      <w:tr w:rsidR="003A3B90">
        <w:trPr>
          <w:gridAfter w:val="1"/>
          <w:wAfter w:w="54" w:type="dxa"/>
          <w:trHeight w:val="1450"/>
          <w:jc w:val="center"/>
        </w:trPr>
        <w:tc>
          <w:tcPr>
            <w:tcW w:w="9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主要用于核酸、蛋白样品的定性和定量分析，以及RNA完整性质控（RIN）</w:t>
            </w:r>
          </w:p>
        </w:tc>
      </w:tr>
      <w:tr w:rsidR="003A3B90">
        <w:trPr>
          <w:gridAfter w:val="1"/>
          <w:wAfter w:w="54" w:type="dxa"/>
          <w:jc w:val="center"/>
        </w:trPr>
        <w:tc>
          <w:tcPr>
            <w:tcW w:w="9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>软硬件配置清单</w:t>
            </w:r>
          </w:p>
        </w:tc>
      </w:tr>
      <w:tr w:rsidR="003A3B90">
        <w:trPr>
          <w:gridAfter w:val="1"/>
          <w:wAfter w:w="54" w:type="dxa"/>
          <w:trHeight w:val="474"/>
          <w:jc w:val="center"/>
        </w:trPr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3A3B90">
        <w:trPr>
          <w:gridAfter w:val="1"/>
          <w:wAfter w:w="54" w:type="dxa"/>
          <w:trHeight w:val="714"/>
          <w:jc w:val="center"/>
        </w:trPr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生物芯片分析系统</w:t>
            </w:r>
            <w:r>
              <w:rPr>
                <w:rStyle w:val="NormalCharacter"/>
                <w:rFonts w:ascii="宋体" w:hAnsi="宋体" w:hint="eastAsia"/>
                <w:szCs w:val="21"/>
              </w:rPr>
              <w:t>主机（含</w:t>
            </w:r>
            <w:r>
              <w:rPr>
                <w:rStyle w:val="NormalCharacter"/>
                <w:rFonts w:ascii="宋体" w:hAnsi="宋体"/>
                <w:szCs w:val="21"/>
              </w:rPr>
              <w:t>芯片注胶平台</w:t>
            </w:r>
            <w:r>
              <w:rPr>
                <w:rStyle w:val="NormalCharacter"/>
                <w:rFonts w:ascii="宋体" w:hAnsi="宋体" w:hint="eastAsia"/>
                <w:szCs w:val="21"/>
              </w:rPr>
              <w:t>、</w:t>
            </w:r>
            <w:r>
              <w:rPr>
                <w:rStyle w:val="NormalCharacter"/>
                <w:rFonts w:ascii="宋体" w:hAnsi="宋体"/>
                <w:szCs w:val="21"/>
              </w:rPr>
              <w:t>芯片涡旋振荡器</w:t>
            </w:r>
            <w:r>
              <w:rPr>
                <w:rStyle w:val="NormalCharacter"/>
                <w:rFonts w:ascii="宋体" w:hAnsi="宋体" w:hint="eastAsia"/>
                <w:szCs w:val="21"/>
              </w:rPr>
              <w:t>、</w:t>
            </w:r>
            <w:r>
              <w:rPr>
                <w:rStyle w:val="NormalCharacter"/>
                <w:rFonts w:ascii="宋体" w:hAnsi="宋体"/>
                <w:szCs w:val="21"/>
              </w:rPr>
              <w:t>软件</w:t>
            </w:r>
            <w:r>
              <w:rPr>
                <w:rStyle w:val="NormalCharacter"/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Style w:val="NormalCharacter"/>
                <w:rFonts w:ascii="宋体" w:hAnsi="宋体"/>
                <w:szCs w:val="21"/>
              </w:rPr>
              <w:t>套</w:t>
            </w:r>
          </w:p>
        </w:tc>
      </w:tr>
      <w:tr w:rsidR="003A3B90">
        <w:trPr>
          <w:gridAfter w:val="1"/>
          <w:wAfter w:w="54" w:type="dxa"/>
          <w:trHeight w:val="714"/>
          <w:jc w:val="center"/>
        </w:trPr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DNA</w:t>
            </w: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 xml:space="preserve"> 7500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分析试剂盒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3盒</w:t>
            </w:r>
          </w:p>
        </w:tc>
      </w:tr>
      <w:tr w:rsidR="003A3B90">
        <w:trPr>
          <w:gridAfter w:val="1"/>
          <w:wAfter w:w="54" w:type="dxa"/>
          <w:trHeight w:val="714"/>
          <w:jc w:val="center"/>
        </w:trPr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DNA</w:t>
            </w: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 xml:space="preserve"> 12000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分析试剂盒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3盒</w:t>
            </w:r>
          </w:p>
        </w:tc>
      </w:tr>
      <w:tr w:rsidR="003A3B90">
        <w:trPr>
          <w:gridAfter w:val="1"/>
          <w:wAfter w:w="54" w:type="dxa"/>
          <w:trHeight w:val="714"/>
          <w:jc w:val="center"/>
        </w:trPr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R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NA</w:t>
            </w: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 xml:space="preserve"> 6000 Pico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分析试剂盒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3盒</w:t>
            </w:r>
          </w:p>
        </w:tc>
      </w:tr>
      <w:tr w:rsidR="003A3B90">
        <w:trPr>
          <w:gridAfter w:val="1"/>
          <w:wAfter w:w="54" w:type="dxa"/>
          <w:jc w:val="center"/>
        </w:trPr>
        <w:tc>
          <w:tcPr>
            <w:tcW w:w="9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b/>
                <w:sz w:val="28"/>
                <w:szCs w:val="28"/>
              </w:rPr>
              <w:t>技术参数要求</w:t>
            </w:r>
          </w:p>
        </w:tc>
      </w:tr>
      <w:tr w:rsidR="003A3B90">
        <w:trPr>
          <w:gridAfter w:val="1"/>
          <w:wAfter w:w="54" w:type="dxa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指标名称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技术参数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生物分析仪主机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3A3B90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1.1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电脑接口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配备RS232 接口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1.2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电极部件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采用可拆卸式电极部件</w:t>
            </w: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设计易于日常维护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★1.3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 w:themeColor="text1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荧光激发模式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 w:themeColor="text1"/>
                <w:szCs w:val="21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szCs w:val="21"/>
              </w:rPr>
              <w:t>激光</w:t>
            </w: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（620-645nm）</w:t>
            </w:r>
            <w:r>
              <w:rPr>
                <w:rStyle w:val="NormalCharacter"/>
                <w:rFonts w:ascii="宋体" w:hAnsi="宋体"/>
                <w:color w:val="000000" w:themeColor="text1"/>
                <w:szCs w:val="21"/>
              </w:rPr>
              <w:t>激发荧光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可选择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试剂盒种类丰富，</w:t>
            </w: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能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满足不同实验需求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3A3B90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1.4</w:t>
            </w: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.1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DNA分析试剂盒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DNA分析试剂盒≥4种，分析范围25bp-12000bp，CV值≤5%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lastRenderedPageBreak/>
              <w:t>1.4.2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R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NA分析试剂盒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RNA分析试剂盒≥3种，满足小RNA、总RNA、mRNA等不同类型RNA的精准分析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1.4.3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蛋白分析试剂盒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蛋白分析试剂盒≥3种，分析范围5KDa-250KDa，CV值≤3%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蛋白分析性能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3A3B90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/>
                <w:b/>
                <w:sz w:val="24"/>
              </w:rPr>
              <w:t>＃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2.1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分析时间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10个样品≤30分钟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2.2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同步分析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允许对每个样本进行定性及定量同步分析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2.3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全自动蛋白分析功能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具备全自动蛋白分析功能，无需后续染色和脱色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2.4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样品消耗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≤4ul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2.5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灵敏度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≤1pg/</w:t>
            </w:r>
            <w:proofErr w:type="spellStart"/>
            <w:r>
              <w:rPr>
                <w:rStyle w:val="NormalCharacter"/>
                <w:rFonts w:ascii="宋体" w:hAnsi="宋体"/>
                <w:color w:val="000000"/>
                <w:szCs w:val="21"/>
              </w:rPr>
              <w:t>ul</w:t>
            </w:r>
            <w:proofErr w:type="spellEnd"/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2.6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结果显示形式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至少可显示为电泳图样形式以及峰值曲线格式</w:t>
            </w:r>
          </w:p>
        </w:tc>
      </w:tr>
      <w:tr w:rsidR="003A3B90">
        <w:trPr>
          <w:gridAfter w:val="1"/>
          <w:wAfter w:w="54" w:type="dxa"/>
          <w:trHeight w:hRule="exact" w:val="71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8"/>
              </w:rPr>
            </w:pPr>
            <w:r>
              <w:rPr>
                <w:rStyle w:val="NormalCharacter"/>
                <w:rFonts w:ascii="宋体" w:hAnsi="宋体"/>
                <w:szCs w:val="28"/>
              </w:rPr>
              <w:t>3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核酸分析性能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3A3B90">
            <w:pPr>
              <w:snapToGrid w:val="0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/>
                <w:b/>
                <w:sz w:val="24"/>
              </w:rPr>
              <w:t>＃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3.1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分析时间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12个样品≤30分钟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3.2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同步分析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允许对每个样本进行定性及定量同步分析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★3.3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样品消耗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≤1ul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3.4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灵敏度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DNA≤5pg/ul,RNA≤50pg/</w:t>
            </w:r>
            <w:proofErr w:type="spellStart"/>
            <w:r>
              <w:rPr>
                <w:rStyle w:val="NormalCharacter"/>
                <w:rFonts w:ascii="宋体" w:hAnsi="宋体"/>
                <w:color w:val="000000"/>
                <w:szCs w:val="21"/>
              </w:rPr>
              <w:t>ul</w:t>
            </w:r>
            <w:proofErr w:type="spellEnd"/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3.5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结果显示形式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至少可显示为电泳图样形式以及峰值曲线格式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★3.6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RNA分析输出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RNA分析完毕直接输出RNA完整数（RIN）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3.7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质控指标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支持RIN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3.8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试剂盒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具有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small RNA专用试剂盒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3.9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small RNA分离范围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至少为6-150nt，样品浓度至少为 50-2000 </w:t>
            </w:r>
            <w:proofErr w:type="spellStart"/>
            <w:r>
              <w:rPr>
                <w:rStyle w:val="NormalCharacter"/>
                <w:rFonts w:ascii="宋体" w:hAnsi="宋体"/>
                <w:color w:val="000000"/>
                <w:szCs w:val="21"/>
              </w:rPr>
              <w:t>pg</w:t>
            </w:r>
            <w:proofErr w:type="spellEnd"/>
            <w:r>
              <w:rPr>
                <w:rStyle w:val="NormalCharacter"/>
                <w:rFonts w:ascii="宋体" w:hAnsi="宋体"/>
                <w:color w:val="000000"/>
                <w:szCs w:val="21"/>
              </w:rPr>
              <w:t>/</w:t>
            </w:r>
            <w:proofErr w:type="spellStart"/>
            <w:r>
              <w:rPr>
                <w:rStyle w:val="NormalCharacter"/>
                <w:rFonts w:ascii="宋体" w:hAnsi="宋体"/>
                <w:color w:val="000000"/>
                <w:szCs w:val="21"/>
              </w:rPr>
              <w:t>uL</w:t>
            </w:r>
            <w:proofErr w:type="spellEnd"/>
            <w:r>
              <w:rPr>
                <w:rStyle w:val="NormalCharacter"/>
                <w:rFonts w:ascii="宋体" w:hAnsi="宋体"/>
                <w:color w:val="000000"/>
                <w:szCs w:val="21"/>
              </w:rPr>
              <w:t>; 对small RNA分子进行定性，定量分析</w:t>
            </w:r>
          </w:p>
        </w:tc>
      </w:tr>
      <w:tr w:rsidR="003A3B90">
        <w:trPr>
          <w:gridAfter w:val="1"/>
          <w:wAfter w:w="54" w:type="dxa"/>
          <w:trHeight w:hRule="exact" w:val="71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8"/>
              </w:rPr>
            </w:pPr>
            <w:r>
              <w:rPr>
                <w:rStyle w:val="NormalCharacter"/>
                <w:rFonts w:ascii="宋体" w:hAnsi="宋体"/>
                <w:szCs w:val="28"/>
              </w:rPr>
              <w:t>4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软件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3A3B90">
            <w:pPr>
              <w:snapToGrid w:val="0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8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4.1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控制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软件可以控制所有全自动分析过程</w:t>
            </w: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且内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szCs w:val="21"/>
              </w:rPr>
              <w:t>建分析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szCs w:val="21"/>
              </w:rPr>
              <w:t>功能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8"/>
              </w:rPr>
            </w:pPr>
            <w:r>
              <w:rPr>
                <w:rStyle w:val="NormalCharacter"/>
                <w:rFonts w:ascii="宋体" w:hAnsi="宋体"/>
                <w:szCs w:val="28"/>
              </w:rPr>
              <w:t>4.2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信息显示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峰或胶视图及样品信息显示</w:t>
            </w: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方便比对数据参数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4"/>
              </w:rPr>
              <w:t>＃</w:t>
            </w:r>
            <w:r>
              <w:rPr>
                <w:rStyle w:val="NormalCharacter"/>
                <w:rFonts w:ascii="宋体" w:hAnsi="宋体"/>
                <w:szCs w:val="28"/>
              </w:rPr>
              <w:t>4.3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可平行比较的样品数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≥48个样本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4"/>
              </w:rPr>
              <w:lastRenderedPageBreak/>
              <w:t>＃</w:t>
            </w:r>
            <w:r>
              <w:rPr>
                <w:rStyle w:val="NormalCharacter"/>
                <w:rFonts w:ascii="宋体" w:hAnsi="宋体"/>
                <w:szCs w:val="28"/>
              </w:rPr>
              <w:t>4.4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一套应用软件可同时控制的设备数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≥</w:t>
            </w: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台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8"/>
              </w:rPr>
            </w:pPr>
            <w:r>
              <w:rPr>
                <w:rStyle w:val="NormalCharacter"/>
                <w:rFonts w:ascii="宋体" w:hAnsi="宋体"/>
                <w:szCs w:val="28"/>
              </w:rPr>
              <w:t>4.5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自动数据采集功能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具备，可自动检测每个峰的分子量大小，根据内标进行校准后自动计算相对浓度，并能对每个峰在总浓度中的百分比含量进行自动计算，同时可自动计算两种RNA核糖体的比率（指示RNA的质量）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8"/>
              </w:rPr>
            </w:pPr>
            <w:r>
              <w:rPr>
                <w:rStyle w:val="NormalCharacter"/>
                <w:rFonts w:ascii="宋体" w:hAnsi="宋体"/>
                <w:szCs w:val="28"/>
              </w:rPr>
              <w:t>4.6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数据输出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可将多种结果的数据均可整合为统一的电子数据表进行输出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8"/>
              </w:rPr>
            </w:pPr>
            <w:r>
              <w:rPr>
                <w:rStyle w:val="NormalCharacter"/>
                <w:rFonts w:ascii="宋体" w:hAnsi="宋体"/>
                <w:szCs w:val="28"/>
              </w:rPr>
              <w:t>4.7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分析</w:t>
            </w: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功能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具有对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弥散的RNA，DNA及蛋白样品的分析功能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8"/>
              </w:rPr>
            </w:pPr>
            <w:r>
              <w:rPr>
                <w:rStyle w:val="NormalCharacter"/>
                <w:rFonts w:ascii="宋体" w:hAnsi="宋体"/>
                <w:szCs w:val="28"/>
              </w:rPr>
              <w:t>4.8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标准认证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可支持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21 CFR Part 11标准认证，便于数据审计追踪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Cs w:val="28"/>
              </w:rPr>
            </w:pPr>
            <w:r>
              <w:rPr>
                <w:rStyle w:val="NormalCharacter"/>
                <w:rFonts w:ascii="宋体" w:hAnsi="宋体" w:hint="eastAsia"/>
                <w:szCs w:val="28"/>
              </w:rPr>
              <w:t>5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配置试剂盒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3A3B90">
            <w:pPr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 w:themeColor="text1"/>
                <w:szCs w:val="28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#</w:t>
            </w:r>
            <w:r>
              <w:rPr>
                <w:rStyle w:val="NormalCharacter"/>
                <w:rFonts w:ascii="宋体" w:hAnsi="宋体" w:hint="eastAsia"/>
                <w:color w:val="000000" w:themeColor="text1"/>
                <w:szCs w:val="28"/>
              </w:rPr>
              <w:t>5.1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szCs w:val="21"/>
              </w:rPr>
              <w:t>DNA</w:t>
            </w: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 7500 </w:t>
            </w:r>
            <w:r>
              <w:rPr>
                <w:rStyle w:val="NormalCharacter"/>
                <w:rFonts w:ascii="宋体" w:hAnsi="宋体"/>
                <w:color w:val="000000" w:themeColor="text1"/>
                <w:szCs w:val="21"/>
              </w:rPr>
              <w:t>分析试剂盒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宋体" w:hAnsi="宋体"/>
                <w:color w:val="000000" w:themeColor="text1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用于长度介于 100-7500 </w:t>
            </w:r>
            <w:proofErr w:type="spell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bp</w:t>
            </w:r>
            <w:proofErr w:type="spell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 之间的 </w:t>
            </w:r>
            <w:proofErr w:type="spell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dsDNA</w:t>
            </w:r>
            <w:proofErr w:type="spell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 片段的分子量测定与定量分析。每盒包括≥25 </w:t>
            </w:r>
            <w:proofErr w:type="gram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个</w:t>
            </w:r>
            <w:proofErr w:type="gram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芯片、试剂、分子量标准品与消耗品。每盒≥300 </w:t>
            </w:r>
            <w:proofErr w:type="gram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个</w:t>
            </w:r>
            <w:proofErr w:type="gram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样品用量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 w:themeColor="text1"/>
                <w:szCs w:val="28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#</w:t>
            </w:r>
            <w:r>
              <w:rPr>
                <w:rStyle w:val="NormalCharacter"/>
                <w:rFonts w:ascii="宋体" w:hAnsi="宋体" w:hint="eastAsia"/>
                <w:color w:val="000000" w:themeColor="text1"/>
                <w:szCs w:val="28"/>
              </w:rPr>
              <w:t>5.2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szCs w:val="21"/>
              </w:rPr>
              <w:t>DNA</w:t>
            </w: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 12000 </w:t>
            </w:r>
            <w:r>
              <w:rPr>
                <w:rStyle w:val="NormalCharacter"/>
                <w:rFonts w:ascii="宋体" w:hAnsi="宋体"/>
                <w:color w:val="000000" w:themeColor="text1"/>
                <w:szCs w:val="21"/>
              </w:rPr>
              <w:t>分析试剂盒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宋体" w:hAnsi="宋体"/>
                <w:color w:val="000000" w:themeColor="text1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用于长度介于 100-12000 </w:t>
            </w:r>
            <w:proofErr w:type="spell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bp</w:t>
            </w:r>
            <w:proofErr w:type="spell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 之间的 </w:t>
            </w:r>
            <w:proofErr w:type="spell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dsDNA</w:t>
            </w:r>
            <w:proofErr w:type="spell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 片段的分子量测定与定量分析。每盒包括≥25 </w:t>
            </w:r>
            <w:proofErr w:type="gram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个</w:t>
            </w:r>
            <w:proofErr w:type="gram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芯片、试剂、分子量标准品与消耗品。每盒≥300 </w:t>
            </w:r>
            <w:proofErr w:type="gram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个</w:t>
            </w:r>
            <w:proofErr w:type="gram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样品用量</w:t>
            </w:r>
          </w:p>
        </w:tc>
      </w:tr>
      <w:tr w:rsidR="003A3B90">
        <w:trPr>
          <w:gridAfter w:val="1"/>
          <w:wAfter w:w="54" w:type="dxa"/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 w:themeColor="text1"/>
                <w:szCs w:val="28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#</w:t>
            </w:r>
            <w:r>
              <w:rPr>
                <w:rStyle w:val="NormalCharacter"/>
                <w:rFonts w:ascii="宋体" w:hAnsi="宋体" w:hint="eastAsia"/>
                <w:color w:val="000000" w:themeColor="text1"/>
                <w:szCs w:val="28"/>
              </w:rPr>
              <w:t>5.3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R</w:t>
            </w:r>
            <w:r>
              <w:rPr>
                <w:rStyle w:val="NormalCharacter"/>
                <w:rFonts w:ascii="宋体" w:hAnsi="宋体"/>
                <w:color w:val="000000" w:themeColor="text1"/>
                <w:szCs w:val="21"/>
              </w:rPr>
              <w:t>NA</w:t>
            </w: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 6000 Pico </w:t>
            </w:r>
            <w:r>
              <w:rPr>
                <w:rStyle w:val="NormalCharacter"/>
                <w:rFonts w:ascii="宋体" w:hAnsi="宋体"/>
                <w:color w:val="000000" w:themeColor="text1"/>
                <w:szCs w:val="21"/>
              </w:rPr>
              <w:t>分析试剂盒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left"/>
              <w:rPr>
                <w:rStyle w:val="NormalCharacter"/>
                <w:rFonts w:ascii="宋体" w:hAnsi="宋体"/>
                <w:color w:val="000000" w:themeColor="text1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用于浓度低至50 </w:t>
            </w:r>
            <w:proofErr w:type="spell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pg</w:t>
            </w:r>
            <w:proofErr w:type="spell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/μL 总 RNA 或 250 </w:t>
            </w:r>
            <w:proofErr w:type="spell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pg</w:t>
            </w:r>
            <w:proofErr w:type="spell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/μL mRNA 的低丰度 RNA 样品分析。每盒包括≥25 </w:t>
            </w:r>
            <w:proofErr w:type="gram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个</w:t>
            </w:r>
            <w:proofErr w:type="gram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 xml:space="preserve">芯片、试剂、分子量标准品与消耗品。每盒≥275 </w:t>
            </w:r>
            <w:proofErr w:type="gramStart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个</w:t>
            </w:r>
            <w:proofErr w:type="gramEnd"/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样品用量</w:t>
            </w:r>
          </w:p>
        </w:tc>
      </w:tr>
      <w:tr w:rsidR="003A3B90">
        <w:trPr>
          <w:gridAfter w:val="1"/>
          <w:wAfter w:w="54" w:type="dxa"/>
          <w:trHeight w:hRule="exact" w:val="710"/>
          <w:jc w:val="center"/>
        </w:trPr>
        <w:tc>
          <w:tcPr>
            <w:tcW w:w="9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" w:eastAsia="仿宋" w:hAnsi="仿宋"/>
                <w:b/>
                <w:sz w:val="28"/>
                <w:szCs w:val="28"/>
              </w:rPr>
              <w:t>售后服务要求</w:t>
            </w:r>
          </w:p>
        </w:tc>
      </w:tr>
      <w:tr w:rsidR="003A3B90">
        <w:trPr>
          <w:gridAfter w:val="1"/>
          <w:wAfter w:w="54" w:type="dxa"/>
          <w:trHeight w:hRule="exact" w:val="71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质保期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整机质保1年</w:t>
            </w:r>
          </w:p>
        </w:tc>
      </w:tr>
      <w:tr w:rsidR="003A3B90">
        <w:trPr>
          <w:gridAfter w:val="1"/>
          <w:wAfter w:w="54" w:type="dxa"/>
          <w:trHeight w:hRule="exact" w:val="71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2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备件库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国内有备件库</w:t>
            </w:r>
          </w:p>
        </w:tc>
      </w:tr>
      <w:tr w:rsidR="003A3B90">
        <w:trPr>
          <w:gridAfter w:val="1"/>
          <w:wAfter w:w="54" w:type="dxa"/>
          <w:trHeight w:hRule="exact" w:val="71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3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维修站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国内有维修站</w:t>
            </w:r>
          </w:p>
        </w:tc>
      </w:tr>
      <w:tr w:rsidR="003A3B90">
        <w:trPr>
          <w:gridAfter w:val="1"/>
          <w:wAfter w:w="54" w:type="dxa"/>
          <w:trHeight w:hRule="exact" w:val="71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4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收费标准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如需更换配件给予市场最低价格</w:t>
            </w:r>
          </w:p>
        </w:tc>
      </w:tr>
      <w:tr w:rsidR="003A3B90">
        <w:trPr>
          <w:gridAfter w:val="1"/>
          <w:wAfter w:w="54" w:type="dxa"/>
          <w:trHeight w:hRule="exact" w:val="71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5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培训支持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提供全面的培训和技术服务，直到完全操作熟悉</w:t>
            </w:r>
          </w:p>
        </w:tc>
      </w:tr>
      <w:tr w:rsidR="003A3B90">
        <w:trPr>
          <w:gridAfter w:val="1"/>
          <w:wAfter w:w="54" w:type="dxa"/>
          <w:trHeight w:hRule="exact" w:val="71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6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维修响应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1小时响应，48-72小时内上门维修</w:t>
            </w:r>
          </w:p>
        </w:tc>
      </w:tr>
      <w:tr w:rsidR="003A3B90">
        <w:trPr>
          <w:gridAfter w:val="1"/>
          <w:wAfter w:w="54" w:type="dxa"/>
          <w:trHeight w:hRule="exact" w:val="71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7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到货时间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90" w:rsidRDefault="004C50E8">
            <w:pPr>
              <w:tabs>
                <w:tab w:val="left" w:pos="420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合同签订后60个工作日到货</w:t>
            </w:r>
          </w:p>
        </w:tc>
      </w:tr>
    </w:tbl>
    <w:p w:rsidR="003A3B90" w:rsidRDefault="004C50E8">
      <w:pPr>
        <w:snapToGrid w:val="0"/>
        <w:ind w:left="720" w:hanging="720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仿宋_GB2312" w:eastAsia="仿宋_GB2312"/>
          <w:sz w:val="24"/>
        </w:rPr>
        <w:t>说明: 功能要求、配置清单为必备要求，从功能角度提出；技术参数应体现设备档次要求，参数中区分</w:t>
      </w:r>
      <w:r>
        <w:rPr>
          <w:rStyle w:val="NormalCharacter"/>
          <w:rFonts w:ascii="仿宋_GB2312" w:eastAsia="仿宋_GB2312"/>
          <w:sz w:val="24"/>
        </w:rPr>
        <w:t>“★”</w:t>
      </w:r>
      <w:r>
        <w:rPr>
          <w:rStyle w:val="NormalCharacter"/>
          <w:rFonts w:ascii="仿宋_GB2312" w:eastAsia="仿宋_GB2312"/>
          <w:sz w:val="24"/>
        </w:rPr>
        <w:t>、</w:t>
      </w:r>
      <w:r>
        <w:rPr>
          <w:rStyle w:val="NormalCharacter"/>
          <w:rFonts w:ascii="仿宋_GB2312" w:eastAsia="仿宋_GB2312"/>
          <w:sz w:val="24"/>
        </w:rPr>
        <w:t>“</w:t>
      </w:r>
      <w:r>
        <w:rPr>
          <w:rStyle w:val="NormalCharacter"/>
          <w:rFonts w:ascii="仿宋_GB2312" w:eastAsia="仿宋_GB2312"/>
          <w:b/>
          <w:sz w:val="24"/>
        </w:rPr>
        <w:t>＃</w:t>
      </w:r>
      <w:r>
        <w:rPr>
          <w:rStyle w:val="NormalCharacter"/>
          <w:rFonts w:ascii="仿宋_GB2312" w:eastAsia="仿宋_GB2312"/>
          <w:sz w:val="24"/>
        </w:rPr>
        <w:t>”</w:t>
      </w:r>
      <w:r>
        <w:rPr>
          <w:rStyle w:val="NormalCharacter"/>
          <w:rFonts w:ascii="仿宋_GB2312" w:eastAsia="仿宋_GB2312"/>
          <w:sz w:val="24"/>
        </w:rPr>
        <w:t>参数，其中</w:t>
      </w:r>
      <w:r>
        <w:rPr>
          <w:rStyle w:val="NormalCharacter"/>
          <w:rFonts w:ascii="仿宋_GB2312" w:eastAsia="仿宋_GB2312"/>
          <w:sz w:val="24"/>
        </w:rPr>
        <w:t>“★”</w:t>
      </w:r>
      <w:r>
        <w:rPr>
          <w:rStyle w:val="NormalCharacter"/>
          <w:rFonts w:ascii="仿宋_GB2312" w:eastAsia="仿宋_GB2312"/>
          <w:sz w:val="24"/>
        </w:rPr>
        <w:t>参数为核心参数，为必须满足参数；</w:t>
      </w:r>
      <w:r>
        <w:rPr>
          <w:rStyle w:val="NormalCharacter"/>
          <w:rFonts w:ascii="仿宋_GB2312" w:eastAsia="仿宋_GB2312"/>
          <w:sz w:val="24"/>
        </w:rPr>
        <w:t>“</w:t>
      </w:r>
      <w:r>
        <w:rPr>
          <w:rStyle w:val="NormalCharacter"/>
          <w:rFonts w:ascii="仿宋_GB2312" w:eastAsia="仿宋_GB2312"/>
          <w:b/>
          <w:sz w:val="24"/>
        </w:rPr>
        <w:t>＃</w:t>
      </w:r>
      <w:r>
        <w:rPr>
          <w:rStyle w:val="NormalCharacter"/>
          <w:rFonts w:ascii="仿宋_GB2312" w:eastAsia="仿宋_GB2312"/>
          <w:sz w:val="24"/>
        </w:rPr>
        <w:t>”</w:t>
      </w:r>
      <w:r>
        <w:rPr>
          <w:rStyle w:val="NormalCharacter"/>
          <w:rFonts w:ascii="仿宋_GB2312" w:eastAsia="仿宋_GB2312"/>
          <w:sz w:val="24"/>
        </w:rPr>
        <w:t>参数为重要参数，在采购评审中分值较高。售后服务要求尽量填写，没有要求的可不填。</w:t>
      </w:r>
    </w:p>
    <w:p w:rsidR="003A3B90" w:rsidRDefault="003A3B90">
      <w:pPr>
        <w:snapToGrid w:val="0"/>
        <w:rPr>
          <w:rStyle w:val="NormalCharacter"/>
        </w:rPr>
      </w:pPr>
    </w:p>
    <w:sectPr w:rsidR="003A3B90">
      <w:pgSz w:w="11907" w:h="16840"/>
      <w:pgMar w:top="1418" w:right="1418" w:bottom="1418" w:left="1418" w:header="851" w:footer="992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AE"/>
    <w:rsid w:val="00074C43"/>
    <w:rsid w:val="000B5CB0"/>
    <w:rsid w:val="001209BB"/>
    <w:rsid w:val="00265B67"/>
    <w:rsid w:val="003A3B90"/>
    <w:rsid w:val="004C50E8"/>
    <w:rsid w:val="005C63AE"/>
    <w:rsid w:val="0074090A"/>
    <w:rsid w:val="00E619CC"/>
    <w:rsid w:val="06134B8F"/>
    <w:rsid w:val="0E1F1A0A"/>
    <w:rsid w:val="11F575B0"/>
    <w:rsid w:val="137A4CA0"/>
    <w:rsid w:val="17A708DA"/>
    <w:rsid w:val="3241675F"/>
    <w:rsid w:val="38B6679D"/>
    <w:rsid w:val="41373E61"/>
    <w:rsid w:val="48CE69C8"/>
    <w:rsid w:val="4DF42BAB"/>
    <w:rsid w:val="4F6156B6"/>
    <w:rsid w:val="50C14982"/>
    <w:rsid w:val="56043EB7"/>
    <w:rsid w:val="5A837507"/>
    <w:rsid w:val="73C82ECC"/>
    <w:rsid w:val="7C1D17D3"/>
    <w:rsid w:val="7D17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semiHidden/>
    <w:qFormat/>
  </w:style>
  <w:style w:type="character" w:customStyle="1" w:styleId="UserStyle1">
    <w:name w:val="UserStyle_1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1"/>
    <w:qFormat/>
    <w:rPr>
      <w:sz w:val="18"/>
      <w:szCs w:val="18"/>
    </w:rPr>
  </w:style>
  <w:style w:type="character" w:customStyle="1" w:styleId="PageNumber">
    <w:name w:val="PageNumber"/>
    <w:basedOn w:val="NormalCharacter"/>
    <w:qFormat/>
  </w:style>
  <w:style w:type="character" w:customStyle="1" w:styleId="UserStyle2">
    <w:name w:val="UserStyle_2"/>
    <w:link w:val="NavPane"/>
    <w:qFormat/>
    <w:rPr>
      <w:rFonts w:ascii="宋体"/>
      <w:kern w:val="2"/>
      <w:sz w:val="24"/>
      <w:szCs w:val="24"/>
    </w:rPr>
  </w:style>
  <w:style w:type="paragraph" w:customStyle="1" w:styleId="NavPane">
    <w:name w:val="NavPane"/>
    <w:basedOn w:val="a"/>
    <w:link w:val="UserStyle2"/>
    <w:qFormat/>
    <w:rPr>
      <w:rFonts w:ascii="宋体"/>
      <w:sz w:val="24"/>
    </w:rPr>
  </w:style>
  <w:style w:type="paragraph" w:customStyle="1" w:styleId="PlainText">
    <w:name w:val="PlainText"/>
    <w:basedOn w:val="a"/>
    <w:qFormat/>
    <w:rPr>
      <w:rFonts w:ascii="宋体" w:hAnsi="Courier New"/>
      <w:szCs w:val="21"/>
    </w:rPr>
  </w:style>
  <w:style w:type="paragraph" w:customStyle="1" w:styleId="UserStyle3">
    <w:name w:val="UserStyle_3"/>
    <w:basedOn w:val="PlainText"/>
    <w:qFormat/>
    <w:pPr>
      <w:spacing w:line="240" w:lineRule="atLeast"/>
    </w:pPr>
    <w:rPr>
      <w:sz w:val="28"/>
      <w:szCs w:val="24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semiHidden/>
    <w:qFormat/>
  </w:style>
  <w:style w:type="character" w:customStyle="1" w:styleId="UserStyle1">
    <w:name w:val="UserStyle_1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1"/>
    <w:qFormat/>
    <w:rPr>
      <w:sz w:val="18"/>
      <w:szCs w:val="18"/>
    </w:rPr>
  </w:style>
  <w:style w:type="character" w:customStyle="1" w:styleId="PageNumber">
    <w:name w:val="PageNumber"/>
    <w:basedOn w:val="NormalCharacter"/>
    <w:qFormat/>
  </w:style>
  <w:style w:type="character" w:customStyle="1" w:styleId="UserStyle2">
    <w:name w:val="UserStyle_2"/>
    <w:link w:val="NavPane"/>
    <w:qFormat/>
    <w:rPr>
      <w:rFonts w:ascii="宋体"/>
      <w:kern w:val="2"/>
      <w:sz w:val="24"/>
      <w:szCs w:val="24"/>
    </w:rPr>
  </w:style>
  <w:style w:type="paragraph" w:customStyle="1" w:styleId="NavPane">
    <w:name w:val="NavPane"/>
    <w:basedOn w:val="a"/>
    <w:link w:val="UserStyle2"/>
    <w:qFormat/>
    <w:rPr>
      <w:rFonts w:ascii="宋体"/>
      <w:sz w:val="24"/>
    </w:rPr>
  </w:style>
  <w:style w:type="paragraph" w:customStyle="1" w:styleId="PlainText">
    <w:name w:val="PlainText"/>
    <w:basedOn w:val="a"/>
    <w:qFormat/>
    <w:rPr>
      <w:rFonts w:ascii="宋体" w:hAnsi="Courier New"/>
      <w:szCs w:val="21"/>
    </w:rPr>
  </w:style>
  <w:style w:type="paragraph" w:customStyle="1" w:styleId="UserStyle3">
    <w:name w:val="UserStyle_3"/>
    <w:basedOn w:val="PlainText"/>
    <w:qFormat/>
    <w:pPr>
      <w:spacing w:line="240" w:lineRule="atLeast"/>
    </w:pPr>
    <w:rPr>
      <w:sz w:val="28"/>
      <w:szCs w:val="24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2021-07-22T00:49:00Z</dcterms:created>
  <dcterms:modified xsi:type="dcterms:W3CDTF">2021-07-22T01:35:00Z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  <property fmtid="{D5CDD505-2E9C-101B-9397-08002B2CF9AE}" pid="3" name="ICV">
    <vt:lpwstr>C257873A6ACF45ACB3C1DBA11EB53C6F</vt:lpwstr>
  </property>
</Properties>
</file>