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06" w:rsidRDefault="00DA7EF3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2021-</w:t>
      </w:r>
      <w:r w:rsidR="005D41E0">
        <w:rPr>
          <w:rFonts w:hint="eastAsia"/>
          <w:sz w:val="28"/>
          <w:szCs w:val="36"/>
        </w:rPr>
        <w:t>JKMTDY-W1459</w:t>
      </w:r>
    </w:p>
    <w:tbl>
      <w:tblPr>
        <w:tblpPr w:leftFromText="180" w:rightFromText="180" w:vertAnchor="text" w:horzAnchor="page" w:tblpX="1412" w:tblpY="9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987"/>
        <w:gridCol w:w="461"/>
        <w:gridCol w:w="6613"/>
      </w:tblGrid>
      <w:tr w:rsidR="00237906">
        <w:trPr>
          <w:trHeight w:val="645"/>
        </w:trPr>
        <w:tc>
          <w:tcPr>
            <w:tcW w:w="0" w:type="auto"/>
            <w:gridSpan w:val="4"/>
            <w:vAlign w:val="center"/>
          </w:tcPr>
          <w:p w:rsidR="00237906" w:rsidRDefault="00DA7EF3">
            <w:pPr>
              <w:tabs>
                <w:tab w:val="left" w:pos="2610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1"/>
              </w:rPr>
              <w:t>自助挂号排队一体机系统技术参数要求</w:t>
            </w:r>
          </w:p>
        </w:tc>
      </w:tr>
      <w:tr w:rsidR="00237906">
        <w:trPr>
          <w:trHeight w:val="652"/>
        </w:trPr>
        <w:tc>
          <w:tcPr>
            <w:tcW w:w="0" w:type="auto"/>
            <w:vAlign w:val="center"/>
          </w:tcPr>
          <w:p w:rsidR="00237906" w:rsidRDefault="00DA7EF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237906" w:rsidRDefault="00DA7EF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指标名称</w:t>
            </w:r>
          </w:p>
        </w:tc>
        <w:tc>
          <w:tcPr>
            <w:tcW w:w="0" w:type="auto"/>
            <w:vAlign w:val="center"/>
          </w:tcPr>
          <w:p w:rsidR="00237906" w:rsidRDefault="00DA7EF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0" w:type="auto"/>
            <w:vAlign w:val="center"/>
          </w:tcPr>
          <w:p w:rsidR="00237906" w:rsidRDefault="00DA7EF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技术参数</w:t>
            </w:r>
          </w:p>
        </w:tc>
      </w:tr>
      <w:tr w:rsidR="00237906">
        <w:trPr>
          <w:trHeight w:val="1047"/>
        </w:trPr>
        <w:tc>
          <w:tcPr>
            <w:tcW w:w="0" w:type="auto"/>
            <w:vAlign w:val="center"/>
          </w:tcPr>
          <w:p w:rsidR="00237906" w:rsidRDefault="00DA7EF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237906" w:rsidRDefault="00DA7EF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自助机硬件</w:t>
            </w:r>
          </w:p>
        </w:tc>
        <w:tc>
          <w:tcPr>
            <w:tcW w:w="0" w:type="auto"/>
            <w:vAlign w:val="center"/>
          </w:tcPr>
          <w:p w:rsidR="00237906" w:rsidRDefault="00DA7EF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台</w:t>
            </w:r>
          </w:p>
        </w:tc>
        <w:tc>
          <w:tcPr>
            <w:tcW w:w="0" w:type="auto"/>
            <w:vAlign w:val="center"/>
          </w:tcPr>
          <w:p w:rsidR="00237906" w:rsidRDefault="00DA7EF3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Segoe UI Symbol"/>
                <w:szCs w:val="21"/>
              </w:rPr>
              <w:t>★</w:t>
            </w:r>
            <w:r>
              <w:rPr>
                <w:rFonts w:asciiTheme="minorEastAsia" w:hAnsiTheme="minorEastAsia" w:cs="Segoe UI Symbol" w:hint="eastAsia"/>
                <w:szCs w:val="21"/>
              </w:rPr>
              <w:t>1</w:t>
            </w:r>
            <w:r>
              <w:rPr>
                <w:rFonts w:asciiTheme="minorEastAsia" w:hAnsiTheme="minorEastAsia" w:cs="Segoe UI Symbol" w:hint="eastAsia"/>
                <w:szCs w:val="21"/>
              </w:rPr>
              <w:t>、电子屏</w:t>
            </w:r>
            <w:r>
              <w:rPr>
                <w:rFonts w:asciiTheme="minorEastAsia" w:hAnsiTheme="minorEastAsia"/>
                <w:szCs w:val="21"/>
              </w:rPr>
              <w:t>≥</w:t>
            </w:r>
            <w:r>
              <w:rPr>
                <w:rFonts w:asciiTheme="minorEastAsia" w:hAnsiTheme="minorEastAsia" w:hint="eastAsia"/>
                <w:szCs w:val="21"/>
              </w:rPr>
              <w:t>32</w:t>
            </w:r>
            <w:r>
              <w:rPr>
                <w:rFonts w:asciiTheme="minorEastAsia" w:hAnsiTheme="minorEastAsia" w:hint="eastAsia"/>
                <w:szCs w:val="21"/>
              </w:rPr>
              <w:t>寸；</w:t>
            </w:r>
          </w:p>
          <w:p w:rsidR="00237906" w:rsidRDefault="00DA7EF3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Segoe UI Symbol"/>
                <w:szCs w:val="21"/>
              </w:rPr>
              <w:t>★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、分辨率</w:t>
            </w:r>
            <w:r>
              <w:rPr>
                <w:rFonts w:asciiTheme="minorEastAsia" w:hAnsiTheme="minorEastAsia"/>
                <w:szCs w:val="21"/>
              </w:rPr>
              <w:t>≥</w:t>
            </w:r>
            <w:r>
              <w:rPr>
                <w:rFonts w:asciiTheme="minorEastAsia" w:hAnsiTheme="minorEastAsia" w:hint="eastAsia"/>
                <w:szCs w:val="21"/>
              </w:rPr>
              <w:t>1920*1080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237906" w:rsidRDefault="00DA7EF3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Segoe UI Symbol"/>
                <w:szCs w:val="21"/>
              </w:rPr>
              <w:t>★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 xml:space="preserve">CPU </w:t>
            </w:r>
            <w:r>
              <w:rPr>
                <w:rFonts w:asciiTheme="minorEastAsia" w:hAnsiTheme="minorEastAsia"/>
                <w:szCs w:val="21"/>
              </w:rPr>
              <w:t>≥</w:t>
            </w:r>
            <w:r>
              <w:rPr>
                <w:rFonts w:asciiTheme="minorEastAsia" w:hAnsiTheme="minorEastAsia" w:hint="eastAsia"/>
                <w:szCs w:val="21"/>
              </w:rPr>
              <w:t>i5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237906" w:rsidRDefault="00DA7EF3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Segoe UI Symbol"/>
                <w:szCs w:val="21"/>
              </w:rPr>
              <w:t>★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、内存</w:t>
            </w:r>
            <w:r>
              <w:rPr>
                <w:rFonts w:asciiTheme="minorEastAsia" w:hAnsiTheme="minorEastAsia"/>
                <w:szCs w:val="21"/>
              </w:rPr>
              <w:t>≥8</w:t>
            </w:r>
            <w:r>
              <w:rPr>
                <w:rFonts w:asciiTheme="minorEastAsia" w:hAnsiTheme="minorEastAsia" w:hint="eastAsia"/>
                <w:szCs w:val="21"/>
              </w:rPr>
              <w:t>G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237906" w:rsidRDefault="00DA7EF3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Segoe UI Symbol"/>
                <w:szCs w:val="21"/>
              </w:rPr>
              <w:t>★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、固态硬盘</w:t>
            </w:r>
            <w:r>
              <w:rPr>
                <w:rFonts w:asciiTheme="minorEastAsia" w:hAnsiTheme="minorEastAsia"/>
                <w:szCs w:val="21"/>
              </w:rPr>
              <w:t>≥</w:t>
            </w:r>
            <w:r>
              <w:rPr>
                <w:rFonts w:asciiTheme="minorEastAsia" w:hAnsiTheme="minorEastAsia" w:hint="eastAsia"/>
                <w:szCs w:val="21"/>
              </w:rPr>
              <w:t>12</w:t>
            </w:r>
            <w:r>
              <w:rPr>
                <w:rFonts w:asciiTheme="minorEastAsia" w:hAnsiTheme="minorEastAsia"/>
                <w:szCs w:val="21"/>
              </w:rPr>
              <w:t>8</w:t>
            </w:r>
            <w:r>
              <w:rPr>
                <w:rFonts w:asciiTheme="minorEastAsia" w:hAnsiTheme="minorEastAsia" w:hint="eastAsia"/>
                <w:szCs w:val="21"/>
              </w:rPr>
              <w:t>G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237906" w:rsidRDefault="00DA7EF3">
            <w:pPr>
              <w:spacing w:line="276" w:lineRule="auto"/>
              <w:jc w:val="left"/>
              <w:textAlignment w:val="center"/>
              <w:rPr>
                <w:rStyle w:val="NormalCharacter"/>
                <w:rFonts w:asciiTheme="minorEastAsia" w:eastAsiaTheme="minorEastAsia" w:hAnsiTheme="minorEastAsia" w:cs="宋体"/>
                <w:szCs w:val="21"/>
              </w:rPr>
            </w:pP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★</w:t>
            </w:r>
            <w:r>
              <w:rPr>
                <w:rStyle w:val="NormalCharacter"/>
                <w:rFonts w:asciiTheme="minorEastAsia" w:eastAsiaTheme="minorEastAsia" w:hAnsiTheme="minorEastAsia" w:cs="宋体"/>
                <w:szCs w:val="21"/>
              </w:rPr>
              <w:t>6</w:t>
            </w: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、刷卡器</w:t>
            </w:r>
            <w:r>
              <w:rPr>
                <w:rStyle w:val="NormalCharacter"/>
                <w:rFonts w:asciiTheme="minorEastAsia" w:eastAsiaTheme="minorEastAsia" w:hAnsiTheme="minorEastAsia" w:cs="宋体"/>
                <w:szCs w:val="21"/>
              </w:rPr>
              <w:t>1</w:t>
            </w: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个：支持磁条卡、芯片卡、感应卡；</w:t>
            </w:r>
          </w:p>
          <w:p w:rsidR="00237906" w:rsidRDefault="00DA7EF3">
            <w:pPr>
              <w:spacing w:line="276" w:lineRule="auto"/>
              <w:jc w:val="left"/>
              <w:textAlignment w:val="center"/>
              <w:rPr>
                <w:rStyle w:val="NormalCharacter"/>
                <w:rFonts w:asciiTheme="minorEastAsia" w:eastAsiaTheme="minorEastAsia" w:hAnsiTheme="minorEastAsia" w:cs="宋体"/>
                <w:szCs w:val="21"/>
              </w:rPr>
            </w:pP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★</w:t>
            </w:r>
            <w:r>
              <w:rPr>
                <w:rStyle w:val="NormalCharacter"/>
                <w:rFonts w:asciiTheme="minorEastAsia" w:eastAsiaTheme="minorEastAsia" w:hAnsiTheme="minorEastAsia" w:cs="宋体"/>
                <w:szCs w:val="21"/>
              </w:rPr>
              <w:t>7</w:t>
            </w: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、热敏打印机</w:t>
            </w: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1</w:t>
            </w: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台：</w:t>
            </w: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5</w:t>
            </w:r>
            <w:r>
              <w:rPr>
                <w:rStyle w:val="NormalCharacter"/>
                <w:rFonts w:asciiTheme="minorEastAsia" w:eastAsiaTheme="minorEastAsia" w:hAnsiTheme="minorEastAsia" w:cs="宋体"/>
                <w:szCs w:val="21"/>
              </w:rPr>
              <w:t>8</w:t>
            </w: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mm</w:t>
            </w: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纸宽、自动切纸、速度≥</w:t>
            </w:r>
            <w:r>
              <w:rPr>
                <w:rStyle w:val="NormalCharacter"/>
                <w:rFonts w:asciiTheme="minorEastAsia" w:eastAsiaTheme="minorEastAsia" w:hAnsiTheme="minorEastAsia" w:cs="宋体"/>
                <w:szCs w:val="21"/>
              </w:rPr>
              <w:t>250</w:t>
            </w: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mms</w:t>
            </w: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；</w:t>
            </w:r>
          </w:p>
          <w:p w:rsidR="00237906" w:rsidRDefault="00DA7EF3">
            <w:pPr>
              <w:pStyle w:val="Style1"/>
              <w:spacing w:line="360" w:lineRule="auto"/>
              <w:ind w:firstLineChars="0" w:firstLine="0"/>
              <w:jc w:val="left"/>
              <w:rPr>
                <w:rStyle w:val="NormalCharacter"/>
                <w:rFonts w:asciiTheme="minorEastAsia" w:eastAsiaTheme="minorEastAsia" w:hAnsiTheme="minorEastAsia" w:cs="宋体"/>
                <w:szCs w:val="21"/>
              </w:rPr>
            </w:pP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★</w:t>
            </w:r>
            <w:r>
              <w:rPr>
                <w:rStyle w:val="NormalCharacter"/>
                <w:rFonts w:asciiTheme="minorEastAsia" w:eastAsiaTheme="minorEastAsia" w:hAnsiTheme="minorEastAsia" w:cs="宋体"/>
                <w:szCs w:val="21"/>
              </w:rPr>
              <w:t>8</w:t>
            </w: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、扫码模块</w:t>
            </w: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1</w:t>
            </w: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个读取条形码、二维码等；</w:t>
            </w:r>
          </w:p>
          <w:p w:rsidR="00237906" w:rsidRDefault="00DA7EF3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★</w:t>
            </w: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9</w:t>
            </w: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、支持保障卡读卡功能；</w:t>
            </w:r>
          </w:p>
        </w:tc>
      </w:tr>
      <w:tr w:rsidR="00237906">
        <w:trPr>
          <w:trHeight w:val="2477"/>
        </w:trPr>
        <w:tc>
          <w:tcPr>
            <w:tcW w:w="0" w:type="auto"/>
            <w:vAlign w:val="center"/>
          </w:tcPr>
          <w:p w:rsidR="00237906" w:rsidRDefault="00DA7EF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237906" w:rsidRDefault="00DA7EF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统一支付服务平台（软件）</w:t>
            </w:r>
          </w:p>
        </w:tc>
        <w:tc>
          <w:tcPr>
            <w:tcW w:w="0" w:type="auto"/>
            <w:vAlign w:val="center"/>
          </w:tcPr>
          <w:p w:rsidR="00237906" w:rsidRDefault="00DA7EF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套</w:t>
            </w:r>
          </w:p>
        </w:tc>
        <w:tc>
          <w:tcPr>
            <w:tcW w:w="0" w:type="auto"/>
            <w:vAlign w:val="center"/>
          </w:tcPr>
          <w:p w:rsidR="00237906" w:rsidRDefault="00DA7EF3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 w:cs="Segoe UI Symbol"/>
                <w:szCs w:val="21"/>
              </w:rPr>
            </w:pPr>
            <w:r>
              <w:rPr>
                <w:rFonts w:asciiTheme="minorEastAsia" w:hAnsiTheme="minorEastAsia" w:cs="Segoe UI Symbol"/>
                <w:szCs w:val="21"/>
              </w:rPr>
              <w:t>★</w:t>
            </w:r>
            <w:r>
              <w:rPr>
                <w:rFonts w:asciiTheme="minorEastAsia" w:hAnsiTheme="minorEastAsia" w:cs="Segoe UI Symbol" w:hint="eastAsia"/>
                <w:szCs w:val="21"/>
              </w:rPr>
              <w:t>1</w:t>
            </w:r>
            <w:r>
              <w:rPr>
                <w:rFonts w:asciiTheme="minorEastAsia" w:hAnsiTheme="minorEastAsia" w:cs="Segoe UI Symbol" w:hint="eastAsia"/>
                <w:szCs w:val="21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支付聚合服务：支持保障卡、微信、支付宝支付的标准接入管理，并通过支付平台制订居中调度交易通信，保障医院交易成功率和资金安全。</w:t>
            </w:r>
          </w:p>
          <w:p w:rsidR="00237906" w:rsidRDefault="00DA7EF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Segoe UI Symbol"/>
                <w:szCs w:val="21"/>
              </w:rPr>
              <w:t>★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统一支付管理：支付订单管理每笔交易都有唯一的交易流水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ID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识别码，能查询每笔交易的详细信息，包含收单账户、支付订单号、患者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ID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、支付模式、业务类型、渠道名称订单信息。支付状态查询：对各个支付渠道的交易过程管控，记录终端交易过程信息、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HIS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交易过程信息、渠道交易过程信息。支持查询各个支付场景，支付渠道的订单状态。可反馈资金在途状态机单边帐的溯源管理。统一对账：自动从渠道和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HIS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获取原始数据，并与平台交易数据进行对比核对每一笔交易真实资金状态。通过自动对账，可及时找出差异（长短款）明细，让医院财务人员一目了然，可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对长款进行原路退回提高患者满意度，对网络异常或超时的明细进行调账处理。</w:t>
            </w:r>
          </w:p>
          <w:p w:rsidR="00237906" w:rsidRDefault="00DA7EF3">
            <w:pPr>
              <w:widowControl/>
              <w:numPr>
                <w:ilvl w:val="0"/>
                <w:numId w:val="4"/>
              </w:num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系统支持多渠道交易对账（配置包括商户号、商户名称、是否启用合并支付、单笔账到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HIS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查询、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HIS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接口的方式、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HIS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接口标准等）和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lastRenderedPageBreak/>
              <w:t>业务对账（配置包括商户信息配置、业务类型配置等）的配置管理。</w:t>
            </w:r>
          </w:p>
          <w:p w:rsidR="00237906" w:rsidRDefault="00DA7EF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＃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单边账管理：分多级权限对单边账原路退费进行风险管控，初审、复核、批准执行。统一退费：支持单渠道、多渠道（支付宝、微信等）、单商户、多商户的统一退费，退费窗口处理完退费后，自动进入医院支付平台，平台可以自动按照原路返回的原则执行后台批量退费，根据医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院实际需求也可以加入人工多级审核环节，能对可疑退费进行拦截和提示，防止潜在的重复退的短款风险。</w:t>
            </w:r>
          </w:p>
          <w:p w:rsidR="00237906" w:rsidRDefault="00DA7EF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＃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、支持审核退费模式，退费审核时可显示记录申请退费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ID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、患者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ID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、原交易检索参考号、商户号、渠道、支付卡号、退费金额、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HIS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退费时间、操作员、审核员、审核时间信息。</w:t>
            </w:r>
          </w:p>
          <w:p w:rsidR="00237906" w:rsidRDefault="00DA7EF3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＃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6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、支持退费处理，并能记录退费交易过程中渠道响应请求及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HIS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响应请求情况。</w:t>
            </w:r>
          </w:p>
          <w:p w:rsidR="00237906" w:rsidRDefault="00DA7EF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7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、支付渠道管理：支持接入并管理银行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MIS-POS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交易系统，以及微信、支付宝第三方支付系统。</w:t>
            </w:r>
          </w:p>
          <w:p w:rsidR="00237906" w:rsidRDefault="00DA7EF3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支持支付渠道（银行卡、第三方支付等）的收单渠道管理（比如银行代码、银行名称、是否开启、创建时间）；</w:t>
            </w:r>
          </w:p>
          <w:p w:rsidR="00237906" w:rsidRDefault="00DA7EF3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8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、支持支付渠道管理（收单渠道代码、收单渠道名称、收单银行代码、银行商户、收单方式、业务范围、支付位置代码、对账周期等）</w:t>
            </w:r>
          </w:p>
          <w:p w:rsidR="00237906" w:rsidRDefault="00DA7EF3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9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、支付账户管理：支持对各支付渠道（支付宝、微信、）的收单商户管理进行集中管控。</w:t>
            </w:r>
          </w:p>
          <w:p w:rsidR="00237906" w:rsidRDefault="00DA7EF3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Segoe UI Symbol"/>
                <w:szCs w:val="21"/>
              </w:rPr>
              <w:t>★</w:t>
            </w:r>
            <w:r>
              <w:rPr>
                <w:rFonts w:asciiTheme="minorEastAsia" w:hAnsiTheme="minorEastAsia" w:cs="Segoe UI Symbol" w:hint="eastAsia"/>
                <w:szCs w:val="21"/>
              </w:rPr>
              <w:t>10</w:t>
            </w:r>
            <w:r>
              <w:rPr>
                <w:rFonts w:asciiTheme="minorEastAsia" w:hAnsiTheme="minorEastAsia" w:cs="Segoe UI Symbol" w:hint="eastAsia"/>
                <w:szCs w:val="21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支付安全管理：支持针对所有接入的渠道进行统一的管理、设置权限、验证身份、分配密钥，保证支付的绝对安全。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br/>
              <w:t>11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、支付之前调用统一身份认证的令牌申请，持有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Token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令牌才能调用支付接口，支付接口报文采用全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报文加密，使用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AES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算法。</w:t>
            </w:r>
          </w:p>
          <w:p w:rsidR="00237906" w:rsidRDefault="00DA7EF3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★</w:t>
            </w:r>
            <w:r>
              <w:rPr>
                <w:rFonts w:asciiTheme="minorEastAsia" w:hAnsiTheme="minorEastAsia" w:hint="eastAsia"/>
                <w:szCs w:val="21"/>
              </w:rPr>
              <w:t>12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财务报表管理：支持多支付渠道、多商户、多支付方式的进项报表。提供医院支付平台系统进项对账报表（包括医院记账合计、平台记账合计、渠道实际回款、渠道进退合并等）和退项对账报表截图（包括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HIS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退费、实际退款、挂账差额、渠道扣款、渠道扣款差额等）。</w:t>
            </w:r>
          </w:p>
        </w:tc>
      </w:tr>
      <w:tr w:rsidR="00237906">
        <w:trPr>
          <w:trHeight w:val="2788"/>
        </w:trPr>
        <w:tc>
          <w:tcPr>
            <w:tcW w:w="0" w:type="auto"/>
            <w:vAlign w:val="center"/>
          </w:tcPr>
          <w:p w:rsidR="00237906" w:rsidRDefault="00DA7EF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237906" w:rsidRDefault="00DA7EF3">
            <w:pPr>
              <w:spacing w:line="480" w:lineRule="auto"/>
              <w:jc w:val="center"/>
              <w:rPr>
                <w:rFonts w:asciiTheme="minorEastAsia" w:hAnsiTheme="minorEastAsia" w:cs="Segoe UI Symbol"/>
                <w:szCs w:val="21"/>
              </w:rPr>
            </w:pPr>
            <w:r>
              <w:rPr>
                <w:rFonts w:asciiTheme="minorEastAsia" w:hAnsiTheme="minorEastAsia" w:cs="Segoe UI Symbol" w:hint="eastAsia"/>
                <w:szCs w:val="21"/>
              </w:rPr>
              <w:t>医院自助服务系统（软件）</w:t>
            </w:r>
          </w:p>
        </w:tc>
        <w:tc>
          <w:tcPr>
            <w:tcW w:w="0" w:type="auto"/>
            <w:vAlign w:val="center"/>
          </w:tcPr>
          <w:p w:rsidR="00237906" w:rsidRDefault="00DA7EF3">
            <w:pPr>
              <w:spacing w:line="480" w:lineRule="auto"/>
              <w:jc w:val="center"/>
              <w:rPr>
                <w:rFonts w:asciiTheme="minorEastAsia" w:hAnsiTheme="minorEastAsia" w:cs="Segoe UI Symbol"/>
                <w:szCs w:val="21"/>
              </w:rPr>
            </w:pPr>
            <w:r>
              <w:rPr>
                <w:rFonts w:asciiTheme="minorEastAsia" w:hAnsiTheme="minorEastAsia" w:cs="Segoe UI Symbol" w:hint="eastAsia"/>
                <w:szCs w:val="21"/>
              </w:rPr>
              <w:t>1</w:t>
            </w:r>
            <w:r>
              <w:rPr>
                <w:rFonts w:asciiTheme="minorEastAsia" w:hAnsiTheme="minorEastAsia" w:cs="Segoe UI Symbol" w:hint="eastAsia"/>
                <w:szCs w:val="21"/>
              </w:rPr>
              <w:t>套</w:t>
            </w:r>
          </w:p>
        </w:tc>
        <w:tc>
          <w:tcPr>
            <w:tcW w:w="0" w:type="auto"/>
            <w:vAlign w:val="center"/>
          </w:tcPr>
          <w:p w:rsidR="00237906" w:rsidRDefault="00DA7EF3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★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当日挂号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: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患者可持保障卡、就诊卡在自助设备上，通过多种方式（科室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\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医生查找、号别、就诊时段）查询当天的号源挂号，支付成功后，打印挂号凭条。</w:t>
            </w:r>
          </w:p>
          <w:p w:rsidR="00237906" w:rsidRDefault="00DA7EF3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★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门诊缴费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: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患者在医生开单后（检查、检验、处方），可持保障卡、就诊卡等在自助设备上查看自己的待缴费列表和缴费项目详情，支付成功后，打印缴费凭条，患者即可到执行科室做检查（检验）或药房取药。</w:t>
            </w:r>
          </w:p>
          <w:p w:rsidR="00237906" w:rsidRDefault="00DA7EF3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★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门诊清单查询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: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保障卡、就诊卡进入自助系统，自助查询门诊费用清单。</w:t>
            </w:r>
          </w:p>
        </w:tc>
      </w:tr>
      <w:tr w:rsidR="00237906">
        <w:trPr>
          <w:trHeight w:val="1274"/>
        </w:trPr>
        <w:tc>
          <w:tcPr>
            <w:tcW w:w="0" w:type="auto"/>
            <w:vAlign w:val="center"/>
          </w:tcPr>
          <w:p w:rsidR="00237906" w:rsidRDefault="00DA7EF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237906" w:rsidRDefault="00DA7EF3">
            <w:pPr>
              <w:spacing w:line="480" w:lineRule="auto"/>
              <w:jc w:val="center"/>
              <w:rPr>
                <w:rFonts w:asciiTheme="minorEastAsia" w:hAnsiTheme="minorEastAsia" w:cs="Segoe UI Symbol"/>
                <w:szCs w:val="21"/>
              </w:rPr>
            </w:pPr>
            <w:r>
              <w:rPr>
                <w:rFonts w:asciiTheme="minorEastAsia" w:hAnsiTheme="minorEastAsia" w:cs="Segoe UI Symbol" w:hint="eastAsia"/>
                <w:szCs w:val="21"/>
              </w:rPr>
              <w:t>维保</w:t>
            </w:r>
          </w:p>
        </w:tc>
        <w:tc>
          <w:tcPr>
            <w:tcW w:w="0" w:type="auto"/>
            <w:gridSpan w:val="2"/>
            <w:vAlign w:val="center"/>
          </w:tcPr>
          <w:p w:rsidR="00237906" w:rsidRDefault="00DA7EF3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软硬件须提供原厂售后服务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年，并出具厂商服务承诺函，加盖原厂章。质保期内提供软件系统升级免费服务。质保期内提供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7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天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*24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小时服务，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小时响应，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2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小时到达现场。中标后</w:t>
            </w:r>
            <w:r>
              <w:rPr>
                <w:rFonts w:asciiTheme="minorEastAsia" w:hAnsiTheme="minorEastAsia" w:cs="宋体"/>
                <w:bCs/>
                <w:szCs w:val="21"/>
              </w:rPr>
              <w:t>30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个工作日内完成。</w:t>
            </w:r>
          </w:p>
        </w:tc>
      </w:tr>
      <w:tr w:rsidR="00237906">
        <w:trPr>
          <w:trHeight w:val="372"/>
        </w:trPr>
        <w:tc>
          <w:tcPr>
            <w:tcW w:w="0" w:type="auto"/>
            <w:vAlign w:val="center"/>
          </w:tcPr>
          <w:p w:rsidR="00237906" w:rsidRDefault="00DA7EF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237906" w:rsidRDefault="00DA7EF3">
            <w:pPr>
              <w:spacing w:line="480" w:lineRule="auto"/>
              <w:jc w:val="center"/>
              <w:rPr>
                <w:rFonts w:asciiTheme="minorEastAsia" w:hAnsiTheme="minorEastAsia" w:cs="Segoe UI Symbol"/>
                <w:szCs w:val="21"/>
              </w:rPr>
            </w:pPr>
            <w:r>
              <w:rPr>
                <w:rFonts w:asciiTheme="minorEastAsia" w:hAnsiTheme="minorEastAsia" w:cs="Segoe UI Symbol" w:hint="eastAsia"/>
                <w:szCs w:val="21"/>
              </w:rPr>
              <w:t>资质</w:t>
            </w:r>
          </w:p>
        </w:tc>
        <w:tc>
          <w:tcPr>
            <w:tcW w:w="0" w:type="auto"/>
            <w:gridSpan w:val="2"/>
            <w:vAlign w:val="center"/>
          </w:tcPr>
          <w:p w:rsidR="00237906" w:rsidRDefault="00DA7EF3">
            <w:pPr>
              <w:pStyle w:val="Style1"/>
              <w:spacing w:line="360" w:lineRule="auto"/>
              <w:ind w:firstLineChars="0" w:firstLine="0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供应商需有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JD</w:t>
            </w:r>
            <w:bookmarkStart w:id="0" w:name="_GoBack"/>
            <w:bookmarkEnd w:id="0"/>
            <w:r>
              <w:rPr>
                <w:rFonts w:asciiTheme="minorEastAsia" w:hAnsiTheme="minorEastAsia" w:cs="宋体" w:hint="eastAsia"/>
                <w:bCs/>
                <w:szCs w:val="21"/>
              </w:rPr>
              <w:t>认证的保密资质。</w:t>
            </w:r>
          </w:p>
        </w:tc>
      </w:tr>
      <w:tr w:rsidR="00237906">
        <w:trPr>
          <w:trHeight w:val="926"/>
        </w:trPr>
        <w:tc>
          <w:tcPr>
            <w:tcW w:w="0" w:type="auto"/>
            <w:gridSpan w:val="4"/>
            <w:vAlign w:val="center"/>
          </w:tcPr>
          <w:p w:rsidR="00237906" w:rsidRDefault="00DA7EF3" w:rsidP="00636BF3">
            <w:pPr>
              <w:pStyle w:val="Style1"/>
              <w:spacing w:line="360" w:lineRule="auto"/>
              <w:ind w:firstLineChars="0" w:firstLine="0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最高限价：</w:t>
            </w:r>
            <w:r w:rsidR="00636BF3">
              <w:rPr>
                <w:rFonts w:asciiTheme="minorEastAsia" w:hAnsiTheme="minorEastAsia" w:hint="eastAsia"/>
                <w:b/>
                <w:szCs w:val="21"/>
              </w:rPr>
              <w:t>30</w:t>
            </w:r>
            <w:r>
              <w:rPr>
                <w:rFonts w:asciiTheme="minorEastAsia" w:hAnsiTheme="minorEastAsia" w:hint="eastAsia"/>
                <w:b/>
                <w:szCs w:val="21"/>
              </w:rPr>
              <w:t>万元</w:t>
            </w:r>
          </w:p>
        </w:tc>
      </w:tr>
    </w:tbl>
    <w:p w:rsidR="00237906" w:rsidRDefault="00237906">
      <w:pPr>
        <w:pStyle w:val="2"/>
        <w:ind w:leftChars="0" w:left="0" w:firstLineChars="0" w:firstLine="0"/>
      </w:pPr>
    </w:p>
    <w:sectPr w:rsidR="00237906" w:rsidSect="00237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EF3" w:rsidRDefault="00DA7EF3" w:rsidP="005D41E0">
      <w:r>
        <w:separator/>
      </w:r>
    </w:p>
  </w:endnote>
  <w:endnote w:type="continuationSeparator" w:id="1">
    <w:p w:rsidR="00DA7EF3" w:rsidRDefault="00DA7EF3" w:rsidP="005D4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EF3" w:rsidRDefault="00DA7EF3" w:rsidP="005D41E0">
      <w:r>
        <w:separator/>
      </w:r>
    </w:p>
  </w:footnote>
  <w:footnote w:type="continuationSeparator" w:id="1">
    <w:p w:rsidR="00DA7EF3" w:rsidRDefault="00DA7EF3" w:rsidP="005D4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9E7868"/>
    <w:multiLevelType w:val="singleLevel"/>
    <w:tmpl w:val="C29E7868"/>
    <w:lvl w:ilvl="0">
      <w:start w:val="1"/>
      <w:numFmt w:val="decimal"/>
      <w:suff w:val="nothing"/>
      <w:lvlText w:val="（%1）"/>
      <w:lvlJc w:val="left"/>
    </w:lvl>
  </w:abstractNum>
  <w:abstractNum w:abstractNumId="1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left" w:pos="72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66665CC"/>
    <w:multiLevelType w:val="singleLevel"/>
    <w:tmpl w:val="566665CC"/>
    <w:lvl w:ilvl="0">
      <w:start w:val="3"/>
      <w:numFmt w:val="decimal"/>
      <w:suff w:val="nothing"/>
      <w:lvlText w:val="%1、"/>
      <w:lvlJc w:val="left"/>
    </w:lvl>
  </w:abstractNum>
  <w:abstractNum w:abstractNumId="3">
    <w:nsid w:val="7C85C97D"/>
    <w:multiLevelType w:val="singleLevel"/>
    <w:tmpl w:val="7C85C97D"/>
    <w:lvl w:ilvl="0">
      <w:start w:val="1"/>
      <w:numFmt w:val="decimal"/>
      <w:suff w:val="nothing"/>
      <w:lvlText w:val="（%1）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906"/>
    <w:rsid w:val="00237906"/>
    <w:rsid w:val="005D41E0"/>
    <w:rsid w:val="00636BF3"/>
    <w:rsid w:val="00DA7EF3"/>
    <w:rsid w:val="274B64A4"/>
    <w:rsid w:val="4E911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237906"/>
    <w:pPr>
      <w:widowControl w:val="0"/>
      <w:jc w:val="both"/>
    </w:pPr>
    <w:rPr>
      <w:kern w:val="2"/>
      <w:sz w:val="21"/>
      <w:szCs w:val="24"/>
    </w:rPr>
  </w:style>
  <w:style w:type="paragraph" w:styleId="20">
    <w:name w:val="heading 2"/>
    <w:basedOn w:val="a"/>
    <w:next w:val="a0"/>
    <w:qFormat/>
    <w:rsid w:val="00237906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0"/>
    <w:qFormat/>
    <w:rsid w:val="00237906"/>
    <w:pPr>
      <w:keepNext/>
      <w:keepLines/>
      <w:numPr>
        <w:ilvl w:val="2"/>
        <w:numId w:val="1"/>
      </w:numPr>
      <w:spacing w:before="60"/>
      <w:outlineLvl w:val="2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First Indent 2"/>
    <w:basedOn w:val="a4"/>
    <w:qFormat/>
    <w:rsid w:val="00237906"/>
    <w:pPr>
      <w:spacing w:after="120"/>
      <w:ind w:leftChars="200" w:left="420" w:firstLineChars="200" w:firstLine="420"/>
    </w:pPr>
    <w:rPr>
      <w:rFonts w:ascii="Times New Roman" w:hAnsi="Times New Roman"/>
    </w:rPr>
  </w:style>
  <w:style w:type="paragraph" w:styleId="a4">
    <w:name w:val="Body Text Indent"/>
    <w:basedOn w:val="a"/>
    <w:uiPriority w:val="99"/>
    <w:qFormat/>
    <w:rsid w:val="00237906"/>
    <w:pPr>
      <w:ind w:firstLine="555"/>
    </w:pPr>
  </w:style>
  <w:style w:type="paragraph" w:styleId="a0">
    <w:name w:val="Normal Indent"/>
    <w:basedOn w:val="a"/>
    <w:qFormat/>
    <w:rsid w:val="00237906"/>
    <w:pPr>
      <w:ind w:firstLineChars="200" w:firstLine="420"/>
    </w:pPr>
  </w:style>
  <w:style w:type="paragraph" w:customStyle="1" w:styleId="Style1">
    <w:name w:val="_Style 1"/>
    <w:basedOn w:val="a"/>
    <w:uiPriority w:val="34"/>
    <w:qFormat/>
    <w:rsid w:val="00237906"/>
    <w:pPr>
      <w:ind w:firstLineChars="200" w:firstLine="420"/>
    </w:pPr>
  </w:style>
  <w:style w:type="character" w:customStyle="1" w:styleId="NormalCharacter">
    <w:name w:val="NormalCharacter"/>
    <w:qFormat/>
    <w:rsid w:val="00237906"/>
    <w:rPr>
      <w:rFonts w:ascii="Times New Roman" w:eastAsia="宋体" w:hAnsi="Times New Roman"/>
      <w:kern w:val="2"/>
      <w:sz w:val="21"/>
      <w:szCs w:val="24"/>
      <w:lang w:val="en-US" w:eastAsia="zh-CN" w:bidi="ar-SA"/>
    </w:rPr>
  </w:style>
  <w:style w:type="paragraph" w:styleId="a5">
    <w:name w:val="Document Map"/>
    <w:basedOn w:val="a"/>
    <w:link w:val="Char"/>
    <w:rsid w:val="005D41E0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1"/>
    <w:link w:val="a5"/>
    <w:rsid w:val="005D41E0"/>
    <w:rPr>
      <w:rFonts w:ascii="宋体" w:eastAsia="宋体"/>
      <w:kern w:val="2"/>
      <w:sz w:val="18"/>
      <w:szCs w:val="18"/>
    </w:rPr>
  </w:style>
  <w:style w:type="paragraph" w:styleId="a6">
    <w:name w:val="header"/>
    <w:basedOn w:val="a"/>
    <w:link w:val="Char0"/>
    <w:rsid w:val="005D4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rsid w:val="005D41E0"/>
    <w:rPr>
      <w:kern w:val="2"/>
      <w:sz w:val="18"/>
      <w:szCs w:val="18"/>
    </w:rPr>
  </w:style>
  <w:style w:type="paragraph" w:styleId="a7">
    <w:name w:val="footer"/>
    <w:basedOn w:val="a"/>
    <w:link w:val="Char1"/>
    <w:rsid w:val="005D4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rsid w:val="005D41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3</cp:revision>
  <dcterms:created xsi:type="dcterms:W3CDTF">2021-09-09T00:12:00Z</dcterms:created>
  <dcterms:modified xsi:type="dcterms:W3CDTF">2021-09-17T01:58:00Z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C596A62F456D4275B6C6838304C1C71B</vt:lpwstr>
  </property>
</Properties>
</file>