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9"/>
          <w:rFonts w:eastAsia="方正小标宋简体"/>
          <w:sz w:val="44"/>
          <w:szCs w:val="44"/>
        </w:rPr>
      </w:pPr>
      <w:r>
        <w:rPr>
          <w:rStyle w:val="9"/>
          <w:rFonts w:eastAsia="方正小标宋简体"/>
          <w:sz w:val="44"/>
          <w:szCs w:val="44"/>
        </w:rPr>
        <w:t>设备技术参数会审表</w:t>
      </w:r>
    </w:p>
    <w:p>
      <w:pPr>
        <w:snapToGrid w:val="0"/>
        <w:ind w:left="-359" w:leftChars="-171" w:firstLine="236" w:firstLineChars="98"/>
        <w:rPr>
          <w:rStyle w:val="9"/>
          <w:rFonts w:ascii="黑体" w:eastAsia="黑体"/>
          <w:sz w:val="32"/>
          <w:szCs w:val="32"/>
        </w:rPr>
      </w:pPr>
      <w:r>
        <w:rPr>
          <w:rStyle w:val="9"/>
          <w:rFonts w:ascii="楷体_GB2312" w:eastAsia="楷体_GB2312"/>
          <w:b/>
          <w:sz w:val="24"/>
        </w:rPr>
        <w:t xml:space="preserve">     </w:t>
      </w:r>
    </w:p>
    <w:tbl>
      <w:tblPr>
        <w:tblStyle w:val="5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874"/>
        <w:gridCol w:w="1414"/>
        <w:gridCol w:w="1992"/>
        <w:gridCol w:w="1012"/>
        <w:gridCol w:w="235"/>
        <w:gridCol w:w="566"/>
        <w:gridCol w:w="993"/>
        <w:gridCol w:w="25"/>
        <w:gridCol w:w="1499"/>
        <w:gridCol w:w="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450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设备名称</w:t>
            </w:r>
          </w:p>
        </w:tc>
        <w:tc>
          <w:tcPr>
            <w:tcW w:w="4653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高通量基因测序仪</w:t>
            </w:r>
          </w:p>
        </w:tc>
        <w:tc>
          <w:tcPr>
            <w:tcW w:w="155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计划号</w:t>
            </w:r>
          </w:p>
        </w:tc>
        <w:tc>
          <w:tcPr>
            <w:tcW w:w="152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hint="eastAsia" w:ascii="黑体" w:eastAsia="黑体"/>
                <w:sz w:val="24"/>
                <w:lang w:eastAsia="zh-CN"/>
              </w:rPr>
            </w:pPr>
            <w:r>
              <w:rPr>
                <w:rStyle w:val="9"/>
                <w:rFonts w:hint="eastAsia" w:ascii="黑体" w:eastAsia="黑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450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预算金额</w:t>
            </w:r>
          </w:p>
        </w:tc>
        <w:tc>
          <w:tcPr>
            <w:tcW w:w="4653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49.90万元人民币</w:t>
            </w:r>
          </w:p>
        </w:tc>
        <w:tc>
          <w:tcPr>
            <w:tcW w:w="1584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设备数量</w:t>
            </w:r>
          </w:p>
        </w:tc>
        <w:tc>
          <w:tcPr>
            <w:tcW w:w="149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450" w:hRule="atLeast"/>
          <w:jc w:val="center"/>
        </w:trPr>
        <w:tc>
          <w:tcPr>
            <w:tcW w:w="2117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经费来源</w:t>
            </w:r>
          </w:p>
        </w:tc>
        <w:tc>
          <w:tcPr>
            <w:tcW w:w="4653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医院医疗成本</w:t>
            </w:r>
          </w:p>
        </w:tc>
        <w:tc>
          <w:tcPr>
            <w:tcW w:w="3083" w:type="dxa"/>
            <w:gridSpan w:val="4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ind w:left="360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hAnsi="黑体" w:eastAsia="黑体"/>
                <w:sz w:val="24"/>
              </w:rPr>
              <w:t xml:space="preserve">☑国产    </w:t>
            </w:r>
            <w:r>
              <w:rPr>
                <w:rStyle w:val="9"/>
                <w:rFonts w:ascii="Segoe UI Emoji" w:hAnsi="Segoe UI Emoji" w:eastAsia="黑体"/>
                <w:sz w:val="24"/>
              </w:rPr>
              <w:t>☑</w:t>
            </w:r>
            <w:r>
              <w:rPr>
                <w:rStyle w:val="9"/>
                <w:rFonts w:ascii="黑体" w:eastAsia="黑体"/>
                <w:sz w:val="24"/>
              </w:rPr>
              <w:t xml:space="preserve">进口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9" w:type="dxa"/>
            <w:gridSpan w:val="11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9"/>
                <w:rFonts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98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1、对DNA片段进行碱基序列的测序，可以产出高性价比的数据。</w:t>
            </w:r>
          </w:p>
          <w:p>
            <w:pPr>
              <w:snapToGrid w:val="0"/>
              <w:jc w:val="left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2、通量灵活，可满足各种临床需求，例如靶向基因测序，16S rRNA测序、宏基因组测序、靶向基因表达图谱测序以及小型基因组测序需求。</w:t>
            </w:r>
          </w:p>
          <w:p>
            <w:pPr>
              <w:snapToGrid w:val="0"/>
              <w:jc w:val="left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3、自动化测序，设备技术成熟，性能稳定。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98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基因测序仪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基因测序仪电源线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1条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基因测序仪说明书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基因测序仪保修卡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基因测序仪废液瓶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基因测序仪清洗盒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基因测序仪清洗芯片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5mm内六角扳手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合格证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8"/>
                <w:szCs w:val="28"/>
              </w:rPr>
            </w:pPr>
            <w:r>
              <w:rPr>
                <w:rStyle w:val="9"/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8"/>
                <w:szCs w:val="28"/>
              </w:rPr>
            </w:pPr>
            <w:r>
              <w:rPr>
                <w:rStyle w:val="9"/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8"/>
                <w:szCs w:val="28"/>
              </w:rPr>
            </w:pPr>
            <w:r>
              <w:rPr>
                <w:rStyle w:val="9"/>
                <w:rFonts w:hAnsi="宋体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★</w:t>
            </w:r>
            <w:r>
              <w:rPr>
                <w:rStyle w:val="9"/>
                <w:rFonts w:ascii="宋体" w:hAnsi="宋体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合规资质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具备NMPA审批的三类医疗器械注册证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★</w:t>
            </w:r>
            <w:r>
              <w:rPr>
                <w:rStyle w:val="9"/>
                <w:rFonts w:ascii="宋体" w:hAnsi="宋体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测序原理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可逆末端终止法测序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★</w:t>
            </w:r>
            <w:r>
              <w:rPr>
                <w:rStyle w:val="9"/>
                <w:rFonts w:ascii="宋体" w:hAnsi="宋体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测序模式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单端测序或者双端测序模式可选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★</w:t>
            </w:r>
            <w:r>
              <w:rPr>
                <w:rStyle w:val="9"/>
                <w:rFonts w:ascii="宋体" w:hAnsi="宋体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数据质量Q30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2*150bp测序模式下Q30（单碱基错误率为1/1000）&gt;75%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sz w:val="24"/>
              </w:rPr>
              <w:t>★</w:t>
            </w:r>
            <w:r>
              <w:rPr>
                <w:rStyle w:val="9"/>
                <w:rFonts w:ascii="宋体" w:hAnsi="宋体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一体化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一体化集成系统，模板放大（簇生成）以及测序过程都可以在集成的自动化测序系统上完成，无需任何额外辅助设备；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＃</w:t>
            </w:r>
            <w:r>
              <w:rPr>
                <w:rStyle w:val="9"/>
                <w:rFonts w:ascii="宋体" w:hAnsi="宋体"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数据通量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可适配不同芯片和读长的测序试剂，测序数据通量产出范围大，300Mb~15G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＃</w:t>
            </w:r>
            <w:r>
              <w:rPr>
                <w:rStyle w:val="9"/>
                <w:rFonts w:ascii="宋体" w:hAnsi="宋体"/>
                <w:szCs w:val="28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最大Reads数目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不低于25M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＃</w:t>
            </w:r>
            <w:r>
              <w:rPr>
                <w:rStyle w:val="9"/>
                <w:rFonts w:ascii="宋体" w:hAnsi="宋体"/>
                <w:szCs w:val="28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最大测序读长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自动化双端读取序列，最大读长不低于2*300bp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98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Ansi="宋体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质保期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一年质保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备件库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hint="eastAsia" w:eastAsia="仿宋_GB2312"/>
                <w:sz w:val="24"/>
              </w:rPr>
              <w:t>西安有备件库，国内有备件库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维修站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hint="eastAsia" w:eastAsia="仿宋_GB2312"/>
                <w:sz w:val="24"/>
              </w:rPr>
              <w:t>西安有维修站，国内有备件库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收费标准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hint="eastAsia" w:eastAsia="仿宋_GB2312"/>
                <w:sz w:val="24"/>
              </w:rPr>
              <w:t>质保期外不收取上门费和维修服务费，只收取响应的配件费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培训支持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安装后免费进行1-2次现场应用培训，支持线上和线下专业知识及应用培训，直至用户掌握应用规程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维修响应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目标现场响应时间1-2个工作日，工作时间的电话支持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到货时间</w:t>
            </w:r>
          </w:p>
        </w:tc>
        <w:tc>
          <w:tcPr>
            <w:tcW w:w="6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eastAsia="仿宋_GB2312"/>
                <w:sz w:val="24"/>
              </w:rPr>
            </w:pPr>
            <w:r>
              <w:rPr>
                <w:rStyle w:val="9"/>
                <w:rFonts w:eastAsia="仿宋_GB2312"/>
                <w:sz w:val="24"/>
              </w:rPr>
              <w:t>合同签订90天到货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需求科室签字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机关业务部门</w:t>
            </w:r>
          </w:p>
        </w:tc>
        <w:tc>
          <w:tcPr>
            <w:tcW w:w="2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sz w:val="24"/>
              </w:rPr>
              <w:t>专家组</w:t>
            </w:r>
          </w:p>
        </w:tc>
        <w:tc>
          <w:tcPr>
            <w:tcW w:w="86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9"/>
                <w:rFonts w:ascii="宋体" w:hAnsi="宋体"/>
                <w:sz w:val="24"/>
              </w:rPr>
            </w:pPr>
          </w:p>
        </w:tc>
      </w:tr>
    </w:tbl>
    <w:p>
      <w:pPr>
        <w:snapToGrid w:val="0"/>
        <w:ind w:left="720" w:hanging="720"/>
        <w:rPr>
          <w:rStyle w:val="9"/>
          <w:rFonts w:ascii="仿宋_GB2312" w:eastAsia="仿宋_GB2312"/>
          <w:sz w:val="24"/>
        </w:rPr>
      </w:pPr>
      <w:r>
        <w:rPr>
          <w:rStyle w:val="9"/>
          <w:rFonts w:ascii="仿宋_GB2312" w:eastAsia="仿宋_GB2312"/>
          <w:sz w:val="24"/>
        </w:rPr>
        <w:t>说明: 功能要求、配置清单为必备要求，从功能角度提出；技术参数应体现设备档次要求，参数中区分“★”、“</w:t>
      </w:r>
      <w:r>
        <w:rPr>
          <w:rStyle w:val="9"/>
          <w:rFonts w:ascii="仿宋_GB2312" w:eastAsia="仿宋_GB2312"/>
          <w:b/>
          <w:sz w:val="24"/>
        </w:rPr>
        <w:t>＃</w:t>
      </w:r>
      <w:r>
        <w:rPr>
          <w:rStyle w:val="9"/>
          <w:rFonts w:ascii="仿宋_GB2312" w:eastAsia="仿宋_GB2312"/>
          <w:sz w:val="24"/>
        </w:rPr>
        <w:t>”参数，其中“★”参数为核心参数，为必须满足参数；“</w:t>
      </w:r>
      <w:r>
        <w:rPr>
          <w:rStyle w:val="9"/>
          <w:rFonts w:ascii="仿宋_GB2312" w:eastAsia="仿宋_GB2312"/>
          <w:b/>
          <w:sz w:val="24"/>
        </w:rPr>
        <w:t>＃</w:t>
      </w:r>
      <w:r>
        <w:rPr>
          <w:rStyle w:val="9"/>
          <w:rFonts w:ascii="仿宋_GB2312" w:eastAsia="仿宋_GB2312"/>
          <w:sz w:val="24"/>
        </w:rPr>
        <w:t>”参数为重要参数，在采购评审中分值较高。售后服务要求尽量填写，没有要求的可不填。</w:t>
      </w:r>
    </w:p>
    <w:sectPr>
      <w:footerReference r:id="rId4" w:type="first"/>
      <w:footerReference r:id="rId3" w:type="default"/>
      <w:pgSz w:w="11907" w:h="16840"/>
      <w:pgMar w:top="851" w:right="1418" w:bottom="993" w:left="1418" w:header="851" w:footer="624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Emoji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9754945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D60D6"/>
    <w:rsid w:val="001B7AA8"/>
    <w:rsid w:val="001D60D6"/>
    <w:rsid w:val="001E177E"/>
    <w:rsid w:val="00210D21"/>
    <w:rsid w:val="00231909"/>
    <w:rsid w:val="00237E40"/>
    <w:rsid w:val="002E7BC9"/>
    <w:rsid w:val="00317C3D"/>
    <w:rsid w:val="003643F1"/>
    <w:rsid w:val="003D7538"/>
    <w:rsid w:val="00426046"/>
    <w:rsid w:val="005C7025"/>
    <w:rsid w:val="005E4356"/>
    <w:rsid w:val="00656616"/>
    <w:rsid w:val="006F2160"/>
    <w:rsid w:val="007714EE"/>
    <w:rsid w:val="00772B7D"/>
    <w:rsid w:val="007D035E"/>
    <w:rsid w:val="00817B9D"/>
    <w:rsid w:val="008A30E4"/>
    <w:rsid w:val="00923AA3"/>
    <w:rsid w:val="009326BF"/>
    <w:rsid w:val="00940434"/>
    <w:rsid w:val="00A64E76"/>
    <w:rsid w:val="00AB672D"/>
    <w:rsid w:val="00B21F13"/>
    <w:rsid w:val="00B53830"/>
    <w:rsid w:val="00B5482F"/>
    <w:rsid w:val="00B5542D"/>
    <w:rsid w:val="00B66B01"/>
    <w:rsid w:val="00C06FCD"/>
    <w:rsid w:val="00C940DA"/>
    <w:rsid w:val="00DE5AC9"/>
    <w:rsid w:val="00DF47A7"/>
    <w:rsid w:val="00E102E1"/>
    <w:rsid w:val="00ED6807"/>
    <w:rsid w:val="00FF38FA"/>
    <w:rsid w:val="724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NormalCharacter"/>
    <w:semiHidden/>
    <w:uiPriority w:val="0"/>
  </w:style>
  <w:style w:type="table" w:customStyle="1" w:styleId="10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basedOn w:val="9"/>
    <w:uiPriority w:val="0"/>
  </w:style>
  <w:style w:type="character" w:customStyle="1" w:styleId="12">
    <w:name w:val="UserStyle_0"/>
    <w:link w:val="13"/>
    <w:qFormat/>
    <w:uiPriority w:val="0"/>
    <w:rPr>
      <w:rFonts w:ascii="宋体"/>
      <w:kern w:val="2"/>
      <w:sz w:val="24"/>
      <w:szCs w:val="24"/>
    </w:rPr>
  </w:style>
  <w:style w:type="paragraph" w:customStyle="1" w:styleId="13">
    <w:name w:val="NavPane"/>
    <w:basedOn w:val="1"/>
    <w:link w:val="12"/>
    <w:uiPriority w:val="0"/>
    <w:rPr>
      <w:rFonts w:ascii="宋体"/>
      <w:sz w:val="24"/>
    </w:rPr>
  </w:style>
  <w:style w:type="character" w:customStyle="1" w:styleId="14">
    <w:name w:val="UserStyle_1"/>
    <w:link w:val="15"/>
    <w:qFormat/>
    <w:uiPriority w:val="0"/>
    <w:rPr>
      <w:kern w:val="2"/>
      <w:sz w:val="18"/>
      <w:szCs w:val="18"/>
    </w:rPr>
  </w:style>
  <w:style w:type="paragraph" w:customStyle="1" w:styleId="15">
    <w:name w:val="Acetate"/>
    <w:basedOn w:val="1"/>
    <w:link w:val="14"/>
    <w:qFormat/>
    <w:uiPriority w:val="0"/>
    <w:rPr>
      <w:sz w:val="18"/>
      <w:szCs w:val="18"/>
    </w:rPr>
  </w:style>
  <w:style w:type="paragraph" w:customStyle="1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8">
    <w:name w:val="PlainText"/>
    <w:basedOn w:val="1"/>
    <w:qFormat/>
    <w:uiPriority w:val="0"/>
    <w:rPr>
      <w:rFonts w:ascii="宋体" w:hAnsi="Courier New"/>
      <w:szCs w:val="21"/>
    </w:rPr>
  </w:style>
  <w:style w:type="paragraph" w:customStyle="1" w:styleId="19">
    <w:name w:val="UserStyle_2"/>
    <w:basedOn w:val="18"/>
    <w:uiPriority w:val="0"/>
    <w:pPr>
      <w:spacing w:line="240" w:lineRule="atLeast"/>
    </w:pPr>
    <w:rPr>
      <w:sz w:val="28"/>
      <w:szCs w:val="24"/>
    </w:rPr>
  </w:style>
  <w:style w:type="table" w:customStyle="1" w:styleId="20">
    <w:name w:val="TableGrid"/>
    <w:basedOn w:val="1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2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99"/>
    <w:pPr>
      <w:widowControl w:val="0"/>
      <w:ind w:firstLine="420" w:firstLineChars="200"/>
      <w:textAlignment w:val="auto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1159</Characters>
  <Lines>9</Lines>
  <Paragraphs>2</Paragraphs>
  <TotalTime>31</TotalTime>
  <ScaleCrop>false</ScaleCrop>
  <LinksUpToDate>false</LinksUpToDate>
  <CharactersWithSpaces>1360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2021-08-02T03:13:00Z</dcterms:created>
  <dc:creator>Administrator</dc:creator>
  <cp:lastModifiedBy>WPS_1488881602</cp:lastModifiedBy>
  <cp:lastPrinted>2021-08-12T09:16:00Z</cp:lastPrinted>
  <dcterms:modified xsi:type="dcterms:W3CDTF">2021-10-13T07:46:00Z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3DE5BE53B45F4F248F59A2234793B727</vt:lpwstr>
  </property>
</Properties>
</file>