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b/>
          <w:bCs/>
          <w:sz w:val="40"/>
          <w:szCs w:val="40"/>
          <w:lang w:eastAsia="zh-CN"/>
        </w:rPr>
      </w:pPr>
      <w:r>
        <w:rPr>
          <w:rFonts w:hint="eastAsia" w:ascii="宋体" w:hAnsi="宋体" w:eastAsia="宋体" w:cs="宋体"/>
          <w:b/>
          <w:bCs/>
          <w:sz w:val="40"/>
          <w:szCs w:val="40"/>
          <w:lang w:val="en-US" w:eastAsia="zh-CN"/>
        </w:rPr>
        <w:t>2021-</w:t>
      </w:r>
      <w:r>
        <w:rPr>
          <w:rFonts w:hint="eastAsia" w:ascii="宋体" w:hAnsi="宋体" w:eastAsia="宋体" w:cs="宋体"/>
          <w:b/>
          <w:bCs/>
          <w:sz w:val="40"/>
          <w:szCs w:val="40"/>
          <w:lang w:eastAsia="zh-CN"/>
        </w:rPr>
        <w:t>JK15-W1253</w:t>
      </w:r>
      <w:r>
        <w:rPr>
          <w:rFonts w:hint="eastAsia" w:ascii="宋体" w:hAnsi="宋体" w:eastAsia="宋体" w:cs="宋体"/>
          <w:b/>
          <w:bCs/>
          <w:sz w:val="40"/>
          <w:szCs w:val="40"/>
          <w:lang w:val="en-US" w:eastAsia="zh-CN"/>
        </w:rPr>
        <w:t xml:space="preserve"> </w:t>
      </w:r>
      <w:r>
        <w:rPr>
          <w:rFonts w:hint="eastAsia" w:ascii="宋体" w:hAnsi="宋体" w:eastAsia="宋体" w:cs="宋体"/>
          <w:b/>
          <w:bCs/>
          <w:sz w:val="40"/>
          <w:szCs w:val="40"/>
          <w:lang w:eastAsia="zh-CN"/>
        </w:rPr>
        <w:t>高校知识产权解决方案系统</w:t>
      </w:r>
      <w:bookmarkStart w:id="5" w:name="_GoBack"/>
      <w:bookmarkEnd w:id="5"/>
    </w:p>
    <w:p>
      <w:pPr>
        <w:bidi w:val="0"/>
        <w:jc w:val="center"/>
        <w:rPr>
          <w:rFonts w:hint="default"/>
          <w:b/>
          <w:bCs/>
          <w:sz w:val="36"/>
          <w:szCs w:val="44"/>
          <w:lang w:val="en-US" w:eastAsia="zh-CN"/>
        </w:rPr>
      </w:pPr>
      <w:r>
        <w:rPr>
          <w:rFonts w:hint="eastAsia"/>
          <w:b/>
          <w:bCs/>
          <w:sz w:val="36"/>
          <w:szCs w:val="44"/>
          <w:lang w:eastAsia="zh-CN"/>
        </w:rPr>
        <w:t>技术参数</w:t>
      </w:r>
      <w:r>
        <w:rPr>
          <w:rFonts w:hint="eastAsia"/>
          <w:b/>
          <w:bCs/>
          <w:sz w:val="36"/>
          <w:szCs w:val="44"/>
          <w:lang w:val="en-US" w:eastAsia="zh-CN"/>
        </w:rPr>
        <w:t>表</w:t>
      </w:r>
    </w:p>
    <w:p>
      <w:pPr>
        <w:spacing w:line="320" w:lineRule="exact"/>
        <w:ind w:left="-357"/>
        <w:jc w:val="center"/>
        <w:rPr>
          <w:b/>
          <w:szCs w:val="21"/>
        </w:rPr>
      </w:pPr>
      <w:r>
        <w:rPr>
          <w:rFonts w:eastAsia="楷体_GB2312"/>
          <w:b/>
          <w:sz w:val="24"/>
        </w:rPr>
        <w:t xml:space="preserve">     </w:t>
      </w:r>
    </w:p>
    <w:tbl>
      <w:tblPr>
        <w:tblStyle w:val="8"/>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345"/>
        <w:gridCol w:w="799"/>
        <w:gridCol w:w="1788"/>
        <w:gridCol w:w="1885"/>
        <w:gridCol w:w="1508"/>
        <w:gridCol w:w="205"/>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236" w:type="dxa"/>
            <w:gridSpan w:val="2"/>
            <w:tcBorders>
              <w:top w:val="double" w:color="auto" w:sz="4" w:space="0"/>
              <w:left w:val="double" w:color="auto" w:sz="4" w:space="0"/>
              <w:bottom w:val="doub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设备名称</w:t>
            </w:r>
          </w:p>
        </w:tc>
        <w:tc>
          <w:tcPr>
            <w:tcW w:w="7410" w:type="dxa"/>
            <w:gridSpan w:val="6"/>
            <w:tcBorders>
              <w:top w:val="double" w:color="auto" w:sz="4" w:space="0"/>
              <w:right w:val="doub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高校知识产权解决方案系统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236" w:type="dxa"/>
            <w:gridSpan w:val="2"/>
            <w:tcBorders>
              <w:top w:val="double" w:color="auto" w:sz="4" w:space="0"/>
              <w:left w:val="double" w:color="auto" w:sz="4" w:space="0"/>
              <w:bottom w:val="double" w:color="auto" w:sz="4" w:space="0"/>
            </w:tcBorders>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招标最高限价</w:t>
            </w:r>
          </w:p>
        </w:tc>
        <w:tc>
          <w:tcPr>
            <w:tcW w:w="4472" w:type="dxa"/>
            <w:gridSpan w:val="3"/>
            <w:tcBorders>
              <w:top w:val="double" w:color="auto" w:sz="4" w:space="0"/>
              <w:bottom w:val="double" w:color="auto" w:sz="4" w:space="0"/>
              <w:right w:val="doub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人民币30.00万元</w:t>
            </w:r>
          </w:p>
        </w:tc>
        <w:tc>
          <w:tcPr>
            <w:tcW w:w="1508" w:type="dxa"/>
            <w:tcBorders>
              <w:top w:val="double" w:color="auto" w:sz="4" w:space="0"/>
              <w:left w:val="double" w:color="auto" w:sz="4" w:space="0"/>
              <w:bottom w:val="doub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设备数量</w:t>
            </w:r>
          </w:p>
        </w:tc>
        <w:tc>
          <w:tcPr>
            <w:tcW w:w="1430" w:type="dxa"/>
            <w:gridSpan w:val="2"/>
            <w:tcBorders>
              <w:top w:val="double" w:color="auto" w:sz="4" w:space="0"/>
              <w:bottom w:val="double" w:color="auto" w:sz="4" w:space="0"/>
              <w:right w:val="doub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823" w:type="dxa"/>
            <w:gridSpan w:val="4"/>
            <w:tcBorders>
              <w:top w:val="double" w:color="auto" w:sz="4" w:space="0"/>
              <w:left w:val="double" w:color="auto" w:sz="4" w:space="0"/>
              <w:bottom w:val="double" w:color="auto" w:sz="4" w:space="0"/>
              <w:right w:val="double" w:color="auto" w:sz="4" w:space="0"/>
            </w:tcBorders>
            <w:vAlign w:val="center"/>
          </w:tcPr>
          <w:p>
            <w:pPr>
              <w:tabs>
                <w:tab w:val="left" w:pos="3628"/>
              </w:tabs>
              <w:jc w:val="center"/>
              <w:rPr>
                <w:rFonts w:hint="eastAsia" w:eastAsia="宋体"/>
                <w:sz w:val="24"/>
                <w:lang w:eastAsia="zh-CN"/>
              </w:rPr>
            </w:pPr>
            <w:r>
              <w:rPr>
                <w:rFonts w:hint="eastAsia"/>
                <w:sz w:val="24"/>
                <w:lang w:eastAsia="zh-CN"/>
              </w:rPr>
              <w:t>国别</w:t>
            </w:r>
          </w:p>
        </w:tc>
        <w:tc>
          <w:tcPr>
            <w:tcW w:w="4823" w:type="dxa"/>
            <w:gridSpan w:val="4"/>
            <w:tcBorders>
              <w:top w:val="double" w:color="auto" w:sz="4" w:space="0"/>
              <w:left w:val="double" w:color="auto" w:sz="4" w:space="0"/>
              <w:bottom w:val="double" w:color="auto" w:sz="4" w:space="0"/>
              <w:right w:val="double" w:color="auto" w:sz="4" w:space="0"/>
            </w:tcBorders>
            <w:vAlign w:val="center"/>
          </w:tcPr>
          <w:p>
            <w:pPr>
              <w:jc w:val="center"/>
              <w:rPr>
                <w:rFonts w:hint="eastAsia" w:eastAsia="宋体"/>
                <w:sz w:val="24"/>
                <w:lang w:eastAsia="zh-CN"/>
              </w:rPr>
            </w:pPr>
            <w:r>
              <w:rPr>
                <w:rFonts w:hint="eastAsia"/>
                <w:sz w:val="24"/>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646" w:type="dxa"/>
            <w:gridSpan w:val="8"/>
            <w:tcBorders>
              <w:top w:val="triple" w:color="auto" w:sz="4" w:space="0"/>
            </w:tcBorders>
            <w:vAlign w:val="center"/>
          </w:tcPr>
          <w:p>
            <w:pPr>
              <w:jc w:val="center"/>
              <w:rPr>
                <w:rFonts w:eastAsia="仿宋_GB2312"/>
                <w:b/>
                <w:sz w:val="24"/>
              </w:rPr>
            </w:pPr>
            <w:r>
              <w:rPr>
                <w:rFonts w:eastAsia="仿宋_GB2312"/>
                <w:b/>
                <w:sz w:val="28"/>
              </w:rPr>
              <w:t>设备功能要求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9646" w:type="dxa"/>
            <w:gridSpan w:val="8"/>
            <w:vAlign w:val="center"/>
          </w:tcPr>
          <w:p>
            <w:pPr>
              <w:ind w:firstLine="480" w:firstLineChars="200"/>
              <w:jc w:val="left"/>
              <w:rPr>
                <w:sz w:val="24"/>
              </w:rPr>
            </w:pPr>
            <w:r>
              <w:rPr>
                <w:sz w:val="24"/>
              </w:rPr>
              <w:t>整体开发应采用当前主流技术框架，平台系统应可运行于虚拟化环境下的Windows操作系统。使用B/S架构，师生使用浏览器即可。</w:t>
            </w:r>
          </w:p>
          <w:p>
            <w:pPr>
              <w:pStyle w:val="16"/>
              <w:ind w:left="360" w:firstLine="0" w:firstLineChars="0"/>
              <w:rPr>
                <w:sz w:val="24"/>
              </w:rPr>
            </w:pPr>
            <w:r>
              <w:rPr>
                <w:sz w:val="24"/>
              </w:rPr>
              <w:t xml:space="preserve"> 建设一套空军军医大学知识产权管理平台，包括知识产权创造平台、知识产权管理平</w:t>
            </w:r>
          </w:p>
          <w:p>
            <w:pPr>
              <w:rPr>
                <w:rFonts w:eastAsia="华文细黑"/>
                <w:sz w:val="24"/>
              </w:rPr>
            </w:pPr>
            <w:r>
              <w:rPr>
                <w:sz w:val="24"/>
              </w:rPr>
              <w:t>台、知识产权协同平台、知识产权运营平台、知识产权保障平台、知识产权集成平台等，实现知识产权线上管理及审批，并可生成各类统计分析报表。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646" w:type="dxa"/>
            <w:gridSpan w:val="8"/>
            <w:vAlign w:val="center"/>
          </w:tcPr>
          <w:p>
            <w:pPr>
              <w:jc w:val="center"/>
              <w:rPr>
                <w:rFonts w:eastAsia="仿宋_GB2312"/>
                <w:b/>
                <w:sz w:val="28"/>
              </w:rPr>
            </w:pPr>
            <w:r>
              <w:rPr>
                <w:rFonts w:eastAsia="仿宋_GB2312"/>
                <w:b/>
                <w:sz w:val="28"/>
              </w:rPr>
              <w:t>软硬件配置清单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 w:type="dxa"/>
            <w:vAlign w:val="center"/>
          </w:tcPr>
          <w:p>
            <w:pPr>
              <w:widowControl/>
              <w:jc w:val="center"/>
              <w:rPr>
                <w:color w:val="000000"/>
                <w:kern w:val="0"/>
                <w:sz w:val="24"/>
              </w:rPr>
            </w:pPr>
            <w:r>
              <w:rPr>
                <w:color w:val="000000"/>
                <w:kern w:val="0"/>
                <w:sz w:val="24"/>
              </w:rPr>
              <w:t>序号</w:t>
            </w:r>
          </w:p>
        </w:tc>
        <w:tc>
          <w:tcPr>
            <w:tcW w:w="7530" w:type="dxa"/>
            <w:gridSpan w:val="6"/>
            <w:vAlign w:val="center"/>
          </w:tcPr>
          <w:p>
            <w:pPr>
              <w:widowControl/>
              <w:jc w:val="center"/>
              <w:rPr>
                <w:color w:val="000000"/>
                <w:kern w:val="0"/>
                <w:sz w:val="24"/>
              </w:rPr>
            </w:pPr>
            <w:r>
              <w:rPr>
                <w:color w:val="000000"/>
                <w:kern w:val="0"/>
                <w:sz w:val="24"/>
              </w:rPr>
              <w:t>描述</w:t>
            </w:r>
          </w:p>
        </w:tc>
        <w:tc>
          <w:tcPr>
            <w:tcW w:w="1225" w:type="dxa"/>
            <w:vAlign w:val="center"/>
          </w:tcPr>
          <w:p>
            <w:pPr>
              <w:widowControl/>
              <w:jc w:val="center"/>
              <w:rPr>
                <w:color w:val="000000"/>
                <w:kern w:val="0"/>
                <w:sz w:val="24"/>
              </w:rPr>
            </w:pPr>
            <w:r>
              <w:rPr>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 w:type="dxa"/>
            <w:vAlign w:val="center"/>
          </w:tcPr>
          <w:p>
            <w:pPr>
              <w:widowControl/>
              <w:jc w:val="center"/>
              <w:rPr>
                <w:color w:val="000000"/>
                <w:kern w:val="0"/>
                <w:sz w:val="24"/>
              </w:rPr>
            </w:pPr>
            <w:r>
              <w:rPr>
                <w:color w:val="000000"/>
                <w:kern w:val="0"/>
                <w:sz w:val="24"/>
              </w:rPr>
              <w:t>1</w:t>
            </w:r>
          </w:p>
        </w:tc>
        <w:tc>
          <w:tcPr>
            <w:tcW w:w="7530" w:type="dxa"/>
            <w:gridSpan w:val="6"/>
            <w:vAlign w:val="center"/>
          </w:tcPr>
          <w:p>
            <w:pPr>
              <w:rPr>
                <w:sz w:val="24"/>
              </w:rPr>
            </w:pPr>
            <w:r>
              <w:rPr>
                <w:sz w:val="24"/>
              </w:rPr>
              <w:t>高校知识产权管理系统平台服务器:32核128G 硬盘8T</w:t>
            </w:r>
          </w:p>
          <w:p>
            <w:pPr>
              <w:rPr>
                <w:sz w:val="24"/>
              </w:rPr>
            </w:pPr>
            <w:r>
              <w:rPr>
                <w:sz w:val="24"/>
              </w:rPr>
              <w:t>操作系统： windows 2012</w:t>
            </w:r>
          </w:p>
        </w:tc>
        <w:tc>
          <w:tcPr>
            <w:tcW w:w="1225" w:type="dxa"/>
            <w:vAlign w:val="center"/>
          </w:tcPr>
          <w:p>
            <w:pPr>
              <w:widowControl/>
              <w:jc w:val="center"/>
              <w:rPr>
                <w:color w:val="000000"/>
                <w:kern w:val="0"/>
                <w:sz w:val="24"/>
              </w:rPr>
            </w:pPr>
            <w:r>
              <w:rPr>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 w:type="dxa"/>
            <w:vAlign w:val="center"/>
          </w:tcPr>
          <w:p>
            <w:pPr>
              <w:widowControl/>
              <w:jc w:val="center"/>
              <w:rPr>
                <w:color w:val="000000"/>
                <w:kern w:val="0"/>
                <w:sz w:val="24"/>
              </w:rPr>
            </w:pPr>
            <w:r>
              <w:rPr>
                <w:color w:val="000000"/>
                <w:kern w:val="0"/>
                <w:sz w:val="24"/>
              </w:rPr>
              <w:t>2</w:t>
            </w:r>
          </w:p>
        </w:tc>
        <w:tc>
          <w:tcPr>
            <w:tcW w:w="7530" w:type="dxa"/>
            <w:gridSpan w:val="6"/>
            <w:vAlign w:val="center"/>
          </w:tcPr>
          <w:p>
            <w:pPr>
              <w:rPr>
                <w:sz w:val="24"/>
              </w:rPr>
            </w:pPr>
            <w:r>
              <w:rPr>
                <w:sz w:val="24"/>
              </w:rPr>
              <w:t xml:space="preserve">数据库：Mysql8.0  </w:t>
            </w:r>
          </w:p>
        </w:tc>
        <w:tc>
          <w:tcPr>
            <w:tcW w:w="1225" w:type="dxa"/>
            <w:vAlign w:val="center"/>
          </w:tcPr>
          <w:p>
            <w:pPr>
              <w:widowControl/>
              <w:jc w:val="center"/>
              <w:rPr>
                <w:color w:val="000000"/>
                <w:kern w:val="0"/>
                <w:sz w:val="24"/>
              </w:rPr>
            </w:pPr>
            <w:r>
              <w:rPr>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 w:type="dxa"/>
            <w:vAlign w:val="center"/>
          </w:tcPr>
          <w:p>
            <w:pPr>
              <w:widowControl/>
              <w:jc w:val="center"/>
              <w:rPr>
                <w:color w:val="000000"/>
                <w:kern w:val="0"/>
                <w:sz w:val="24"/>
              </w:rPr>
            </w:pPr>
            <w:r>
              <w:rPr>
                <w:color w:val="000000"/>
                <w:kern w:val="0"/>
                <w:sz w:val="24"/>
              </w:rPr>
              <w:t>3</w:t>
            </w:r>
          </w:p>
        </w:tc>
        <w:tc>
          <w:tcPr>
            <w:tcW w:w="7530" w:type="dxa"/>
            <w:gridSpan w:val="6"/>
            <w:vAlign w:val="center"/>
          </w:tcPr>
          <w:p>
            <w:pPr>
              <w:rPr>
                <w:sz w:val="24"/>
              </w:rPr>
            </w:pPr>
            <w:r>
              <w:rPr>
                <w:sz w:val="24"/>
              </w:rPr>
              <w:t>Nginx: 1.17.7版本</w:t>
            </w:r>
          </w:p>
        </w:tc>
        <w:tc>
          <w:tcPr>
            <w:tcW w:w="1225" w:type="dxa"/>
            <w:vAlign w:val="center"/>
          </w:tcPr>
          <w:p>
            <w:pPr>
              <w:widowControl/>
              <w:jc w:val="center"/>
              <w:rPr>
                <w:color w:val="000000"/>
                <w:kern w:val="0"/>
                <w:sz w:val="24"/>
              </w:rPr>
            </w:pPr>
            <w:r>
              <w:rPr>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 w:type="dxa"/>
            <w:vAlign w:val="center"/>
          </w:tcPr>
          <w:p>
            <w:pPr>
              <w:widowControl/>
              <w:jc w:val="center"/>
              <w:rPr>
                <w:color w:val="000000"/>
                <w:kern w:val="0"/>
                <w:sz w:val="24"/>
              </w:rPr>
            </w:pPr>
            <w:r>
              <w:rPr>
                <w:color w:val="000000"/>
                <w:kern w:val="0"/>
                <w:sz w:val="24"/>
              </w:rPr>
              <w:t>4</w:t>
            </w:r>
          </w:p>
        </w:tc>
        <w:tc>
          <w:tcPr>
            <w:tcW w:w="7530" w:type="dxa"/>
            <w:gridSpan w:val="6"/>
            <w:vAlign w:val="center"/>
          </w:tcPr>
          <w:p>
            <w:pPr>
              <w:rPr>
                <w:sz w:val="24"/>
              </w:rPr>
            </w:pPr>
            <w:r>
              <w:rPr>
                <w:sz w:val="24"/>
              </w:rPr>
              <w:t xml:space="preserve">JDK: 1.8  </w:t>
            </w:r>
          </w:p>
        </w:tc>
        <w:tc>
          <w:tcPr>
            <w:tcW w:w="1225" w:type="dxa"/>
            <w:vAlign w:val="center"/>
          </w:tcPr>
          <w:p>
            <w:pPr>
              <w:widowControl/>
              <w:jc w:val="center"/>
              <w:rPr>
                <w:color w:val="000000"/>
                <w:kern w:val="0"/>
                <w:sz w:val="24"/>
              </w:rPr>
            </w:pPr>
            <w:r>
              <w:rPr>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646" w:type="dxa"/>
            <w:gridSpan w:val="8"/>
            <w:vAlign w:val="center"/>
          </w:tcPr>
          <w:p>
            <w:pPr>
              <w:jc w:val="center"/>
              <w:rPr>
                <w:rFonts w:eastAsia="仿宋_GB2312"/>
                <w:b/>
                <w:sz w:val="28"/>
              </w:rPr>
            </w:pPr>
            <w:r>
              <w:rPr>
                <w:rFonts w:eastAsia="仿宋_GB2312"/>
                <w:b/>
                <w:sz w:val="28"/>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1" w:type="dxa"/>
            <w:vAlign w:val="center"/>
          </w:tcPr>
          <w:p>
            <w:pPr>
              <w:jc w:val="center"/>
              <w:rPr>
                <w:rFonts w:eastAsia="仿宋_GB2312"/>
                <w:sz w:val="28"/>
                <w:szCs w:val="28"/>
              </w:rPr>
            </w:pPr>
            <w:r>
              <w:rPr>
                <w:rFonts w:eastAsia="仿宋_GB2312"/>
                <w:sz w:val="28"/>
                <w:szCs w:val="28"/>
              </w:rPr>
              <w:t>序号</w:t>
            </w:r>
          </w:p>
        </w:tc>
        <w:tc>
          <w:tcPr>
            <w:tcW w:w="2144" w:type="dxa"/>
            <w:gridSpan w:val="2"/>
            <w:vAlign w:val="center"/>
          </w:tcPr>
          <w:p>
            <w:pPr>
              <w:jc w:val="center"/>
              <w:rPr>
                <w:rFonts w:eastAsia="仿宋_GB2312"/>
                <w:sz w:val="28"/>
                <w:szCs w:val="28"/>
              </w:rPr>
            </w:pPr>
            <w:r>
              <w:rPr>
                <w:rFonts w:eastAsia="仿宋_GB2312"/>
                <w:sz w:val="28"/>
                <w:szCs w:val="28"/>
              </w:rPr>
              <w:t>指标名称</w:t>
            </w:r>
          </w:p>
        </w:tc>
        <w:tc>
          <w:tcPr>
            <w:tcW w:w="6611" w:type="dxa"/>
            <w:gridSpan w:val="5"/>
            <w:vAlign w:val="center"/>
          </w:tcPr>
          <w:p>
            <w:pPr>
              <w:jc w:val="center"/>
              <w:rPr>
                <w:rFonts w:eastAsia="华文细黑"/>
                <w:sz w:val="24"/>
              </w:rPr>
            </w:pPr>
            <w:r>
              <w:rPr>
                <w:rFonts w:eastAsia="华文细黑"/>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144"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知识产权创造平台</w:t>
            </w:r>
          </w:p>
          <w:p>
            <w:pPr>
              <w:jc w:val="center"/>
              <w:rPr>
                <w:rFonts w:hint="eastAsia" w:ascii="宋体" w:hAnsi="宋体" w:eastAsia="宋体" w:cs="宋体"/>
                <w:sz w:val="24"/>
                <w:szCs w:val="24"/>
              </w:rPr>
            </w:pPr>
            <w:r>
              <w:rPr>
                <w:rFonts w:hint="eastAsia" w:ascii="宋体" w:hAnsi="宋体" w:eastAsia="宋体" w:cs="宋体"/>
                <w:sz w:val="24"/>
                <w:szCs w:val="24"/>
              </w:rPr>
              <w:t>★（提案管理）</w:t>
            </w:r>
          </w:p>
        </w:tc>
        <w:tc>
          <w:tcPr>
            <w:tcW w:w="6611" w:type="dxa"/>
            <w:gridSpan w:val="5"/>
            <w:vAlign w:val="center"/>
          </w:tcPr>
          <w:p>
            <w:pPr>
              <w:pStyle w:val="16"/>
              <w:numPr>
                <w:ilvl w:val="0"/>
                <w:numId w:val="1"/>
              </w:numPr>
              <w:ind w:firstLineChars="0"/>
              <w:rPr>
                <w:sz w:val="24"/>
              </w:rPr>
            </w:pPr>
            <w:r>
              <w:rPr>
                <w:sz w:val="24"/>
              </w:rPr>
              <w:t>线上填写提案基本信息、上传技术交底书等相关附件。（上传文件格式不限制），规范管理；</w:t>
            </w:r>
          </w:p>
          <w:p>
            <w:pPr>
              <w:pStyle w:val="16"/>
              <w:numPr>
                <w:ilvl w:val="0"/>
                <w:numId w:val="1"/>
              </w:numPr>
              <w:ind w:firstLineChars="0"/>
              <w:rPr>
                <w:sz w:val="24"/>
              </w:rPr>
            </w:pPr>
            <w:r>
              <w:rPr>
                <w:sz w:val="24"/>
              </w:rPr>
              <w:t>在线填写技术应用情况、产权归属、费用分担及收益分配</w:t>
            </w:r>
          </w:p>
          <w:p>
            <w:pPr>
              <w:pStyle w:val="16"/>
              <w:numPr>
                <w:ilvl w:val="0"/>
                <w:numId w:val="1"/>
              </w:numPr>
              <w:ind w:firstLineChars="0"/>
              <w:rPr>
                <w:sz w:val="24"/>
              </w:rPr>
            </w:pPr>
            <w:r>
              <w:rPr>
                <w:sz w:val="24"/>
              </w:rPr>
              <w:t>提案人提案后，不可再次修改，管理员可以进行后期的修改或者流程退回由提案人修改；</w:t>
            </w:r>
          </w:p>
          <w:p>
            <w:pPr>
              <w:pStyle w:val="16"/>
              <w:numPr>
                <w:ilvl w:val="0"/>
                <w:numId w:val="1"/>
              </w:numPr>
              <w:ind w:firstLineChars="0"/>
              <w:rPr>
                <w:sz w:val="24"/>
              </w:rPr>
            </w:pPr>
            <w:r>
              <w:rPr>
                <w:sz w:val="24"/>
              </w:rPr>
              <w:t>审批人可以由系统默认设定也可以由提案人自行设定；</w:t>
            </w:r>
          </w:p>
          <w:p>
            <w:pPr>
              <w:pStyle w:val="16"/>
              <w:numPr>
                <w:ilvl w:val="0"/>
                <w:numId w:val="1"/>
              </w:numPr>
              <w:ind w:firstLineChars="0"/>
              <w:rPr>
                <w:sz w:val="24"/>
              </w:rPr>
            </w:pPr>
            <w:r>
              <w:rPr>
                <w:sz w:val="24"/>
              </w:rPr>
              <w:t>增加专利申请评审环节、设置技术、市场等评估维度及评分标准， 计算分值信息，根据最终分值进行等级评定，萃取优质专利；</w:t>
            </w:r>
          </w:p>
          <w:p>
            <w:pPr>
              <w:pStyle w:val="16"/>
              <w:numPr>
                <w:ilvl w:val="0"/>
                <w:numId w:val="1"/>
              </w:numPr>
              <w:ind w:firstLineChars="0"/>
              <w:rPr>
                <w:sz w:val="24"/>
              </w:rPr>
            </w:pPr>
            <w:r>
              <w:rPr>
                <w:sz w:val="24"/>
              </w:rPr>
              <w:t>全流程都有邮件和系统提示相关人员；</w:t>
            </w:r>
          </w:p>
          <w:p>
            <w:pPr>
              <w:pStyle w:val="16"/>
              <w:numPr>
                <w:ilvl w:val="0"/>
                <w:numId w:val="1"/>
              </w:numPr>
              <w:ind w:firstLineChars="0"/>
              <w:rPr>
                <w:sz w:val="24"/>
              </w:rPr>
            </w:pPr>
            <w:r>
              <w:rPr>
                <w:sz w:val="24"/>
              </w:rPr>
              <w:t>提案支持同时申请多个国家，通过后自动新增专利案件，并建立家族关联；</w:t>
            </w:r>
          </w:p>
          <w:p>
            <w:pPr>
              <w:pStyle w:val="16"/>
              <w:numPr>
                <w:ilvl w:val="0"/>
                <w:numId w:val="1"/>
              </w:numPr>
              <w:ind w:firstLineChars="0"/>
              <w:rPr>
                <w:sz w:val="24"/>
              </w:rPr>
            </w:pPr>
            <w:r>
              <w:rPr>
                <w:sz w:val="24"/>
              </w:rPr>
              <w:t>线上接入专利检索系统，无账号限制，在线进行查新检索并关联提案；</w:t>
            </w:r>
          </w:p>
          <w:p>
            <w:pPr>
              <w:pStyle w:val="16"/>
              <w:numPr>
                <w:ilvl w:val="0"/>
                <w:numId w:val="1"/>
              </w:numPr>
              <w:ind w:firstLineChars="0"/>
              <w:rPr>
                <w:sz w:val="24"/>
              </w:rPr>
            </w:pPr>
            <w:r>
              <w:rPr>
                <w:sz w:val="24"/>
              </w:rPr>
              <w:t>提案人仅可看到自己的提案状态与进程；可以查看已经授权或公开的案件；</w:t>
            </w:r>
          </w:p>
          <w:p>
            <w:pPr>
              <w:pStyle w:val="16"/>
              <w:numPr>
                <w:ilvl w:val="0"/>
                <w:numId w:val="1"/>
              </w:numPr>
              <w:ind w:firstLineChars="0"/>
              <w:rPr>
                <w:sz w:val="24"/>
              </w:rPr>
            </w:pPr>
            <w:r>
              <w:rPr>
                <w:sz w:val="24"/>
              </w:rPr>
              <w:t>管理层可以查看权限范围内提案及专利案件信息，可以在首页以图表的形式显示；可以查看公司授权或公开的案件。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144"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知识产权</w:t>
            </w:r>
          </w:p>
          <w:p>
            <w:pPr>
              <w:jc w:val="center"/>
              <w:rPr>
                <w:rFonts w:hint="eastAsia" w:ascii="宋体" w:hAnsi="宋体" w:eastAsia="宋体" w:cs="宋体"/>
                <w:sz w:val="24"/>
                <w:szCs w:val="24"/>
              </w:rPr>
            </w:pPr>
            <w:r>
              <w:rPr>
                <w:rFonts w:hint="eastAsia" w:ascii="宋体" w:hAnsi="宋体" w:eastAsia="宋体" w:cs="宋体"/>
                <w:sz w:val="24"/>
                <w:szCs w:val="24"/>
              </w:rPr>
              <w:t>创造平台</w:t>
            </w:r>
          </w:p>
          <w:p>
            <w:pPr>
              <w:jc w:val="center"/>
              <w:rPr>
                <w:rFonts w:hint="eastAsia" w:ascii="宋体" w:hAnsi="宋体" w:eastAsia="宋体" w:cs="宋体"/>
                <w:sz w:val="24"/>
                <w:szCs w:val="24"/>
              </w:rPr>
            </w:pPr>
            <w:r>
              <w:rPr>
                <w:rFonts w:hint="eastAsia" w:ascii="宋体" w:hAnsi="宋体" w:eastAsia="宋体" w:cs="宋体"/>
                <w:sz w:val="24"/>
                <w:szCs w:val="24"/>
              </w:rPr>
              <w:t>★（专利管理）</w:t>
            </w:r>
          </w:p>
        </w:tc>
        <w:tc>
          <w:tcPr>
            <w:tcW w:w="6611" w:type="dxa"/>
            <w:gridSpan w:val="5"/>
            <w:vAlign w:val="center"/>
          </w:tcPr>
          <w:p>
            <w:pPr>
              <w:pStyle w:val="16"/>
              <w:numPr>
                <w:ilvl w:val="0"/>
                <w:numId w:val="2"/>
              </w:numPr>
              <w:ind w:firstLineChars="0"/>
              <w:rPr>
                <w:sz w:val="24"/>
              </w:rPr>
            </w:pPr>
            <w:r>
              <w:rPr>
                <w:sz w:val="24"/>
              </w:rPr>
              <w:t>管理专利从案件申请到授权维权全生命周期；</w:t>
            </w:r>
          </w:p>
          <w:p>
            <w:pPr>
              <w:pStyle w:val="16"/>
              <w:numPr>
                <w:ilvl w:val="0"/>
                <w:numId w:val="2"/>
              </w:numPr>
              <w:ind w:firstLineChars="0"/>
              <w:rPr>
                <w:sz w:val="24"/>
              </w:rPr>
            </w:pPr>
            <w:r>
              <w:rPr>
                <w:sz w:val="24"/>
              </w:rPr>
              <w:t>管理专利案件基本信息、扩展信息、著录项目、代理机构、费用信息、文件信息、往来信息、相关案件；</w:t>
            </w:r>
          </w:p>
          <w:p>
            <w:pPr>
              <w:pStyle w:val="16"/>
              <w:numPr>
                <w:ilvl w:val="0"/>
                <w:numId w:val="2"/>
              </w:numPr>
              <w:ind w:firstLineChars="0"/>
              <w:rPr>
                <w:sz w:val="24"/>
              </w:rPr>
            </w:pPr>
            <w:r>
              <w:rPr>
                <w:sz w:val="24"/>
              </w:rPr>
              <w:t>一个页面可查阅案件各阶段处理过程、进度，并以“处理事项”条列式管控案件处理进程信息；</w:t>
            </w:r>
          </w:p>
          <w:p>
            <w:pPr>
              <w:pStyle w:val="16"/>
              <w:numPr>
                <w:ilvl w:val="0"/>
                <w:numId w:val="2"/>
              </w:numPr>
              <w:ind w:firstLineChars="0"/>
              <w:rPr>
                <w:sz w:val="24"/>
              </w:rPr>
            </w:pPr>
            <w:r>
              <w:rPr>
                <w:sz w:val="24"/>
              </w:rPr>
              <w:t>支持分案处理，针对不同情况的分案生成不同的案号管理；国外案件可以分案申请，分案和母案的基础信息可以复制或新增；</w:t>
            </w:r>
          </w:p>
          <w:p>
            <w:pPr>
              <w:pStyle w:val="16"/>
              <w:numPr>
                <w:ilvl w:val="0"/>
                <w:numId w:val="2"/>
              </w:numPr>
              <w:ind w:firstLineChars="0"/>
              <w:rPr>
                <w:sz w:val="24"/>
              </w:rPr>
            </w:pPr>
            <w:r>
              <w:rPr>
                <w:sz w:val="24"/>
              </w:rPr>
              <w:t>专利动态布局、专利家族树形图谱自动展示；</w:t>
            </w:r>
          </w:p>
          <w:p>
            <w:pPr>
              <w:pStyle w:val="16"/>
              <w:numPr>
                <w:ilvl w:val="0"/>
                <w:numId w:val="2"/>
              </w:numPr>
              <w:ind w:firstLineChars="0"/>
              <w:rPr>
                <w:sz w:val="24"/>
              </w:rPr>
            </w:pPr>
            <w:r>
              <w:rPr>
                <w:sz w:val="24"/>
              </w:rPr>
              <w:t>国外申请，系统可直接复制国内案基本信息或在原国内案基础上新增；</w:t>
            </w:r>
          </w:p>
          <w:p>
            <w:pPr>
              <w:pStyle w:val="16"/>
              <w:numPr>
                <w:ilvl w:val="0"/>
                <w:numId w:val="2"/>
              </w:numPr>
              <w:ind w:firstLineChars="0"/>
              <w:rPr>
                <w:sz w:val="24"/>
              </w:rPr>
            </w:pPr>
            <w:r>
              <w:rPr>
                <w:sz w:val="24"/>
              </w:rPr>
              <w:t>支持案件批量导入/导出功能，附件的批量导入可以多案件多附件批量导入；同一案件的多个附件批量导出后存入统一文件夹；支持多个案件下面多个附件的导出，都存在同一案件文件夹里；</w:t>
            </w:r>
          </w:p>
          <w:p>
            <w:pPr>
              <w:pStyle w:val="16"/>
              <w:numPr>
                <w:ilvl w:val="0"/>
                <w:numId w:val="2"/>
              </w:numPr>
              <w:ind w:firstLineChars="0"/>
              <w:rPr>
                <w:sz w:val="24"/>
              </w:rPr>
            </w:pPr>
            <w:r>
              <w:rPr>
                <w:sz w:val="24"/>
              </w:rPr>
              <w:t>可按默认的统计模板导出内容，可增加、删除所需字段；</w:t>
            </w:r>
          </w:p>
          <w:p>
            <w:pPr>
              <w:pStyle w:val="16"/>
              <w:numPr>
                <w:ilvl w:val="0"/>
                <w:numId w:val="2"/>
              </w:numPr>
              <w:ind w:firstLineChars="0"/>
              <w:rPr>
                <w:sz w:val="24"/>
              </w:rPr>
            </w:pPr>
            <w:r>
              <w:rPr>
                <w:sz w:val="24"/>
              </w:rPr>
              <w:t>可设定优先权案源，监控优先权期限，到期自动提醒，以该案件作为优先权生成新申请，自动建立同族关系；</w:t>
            </w:r>
          </w:p>
          <w:p>
            <w:pPr>
              <w:pStyle w:val="16"/>
              <w:numPr>
                <w:ilvl w:val="0"/>
                <w:numId w:val="2"/>
              </w:numPr>
              <w:ind w:firstLineChars="0"/>
              <w:rPr>
                <w:sz w:val="24"/>
              </w:rPr>
            </w:pPr>
            <w:r>
              <w:rPr>
                <w:sz w:val="24"/>
              </w:rPr>
              <w:t>国内专利代理委托、申请、审查、授权等全过程管理，具有Excel导出功能、字段组合检索功能；具有优先权管理和分案管理功能；</w:t>
            </w:r>
          </w:p>
          <w:p>
            <w:pPr>
              <w:pStyle w:val="16"/>
              <w:numPr>
                <w:ilvl w:val="0"/>
                <w:numId w:val="2"/>
              </w:numPr>
              <w:ind w:firstLineChars="0"/>
              <w:rPr>
                <w:sz w:val="24"/>
              </w:rPr>
            </w:pPr>
            <w:r>
              <w:rPr>
                <w:sz w:val="24"/>
              </w:rPr>
              <w:t>系统能够自动计算OA、案件撰写答复期限，可批量同时上传对比文件、答复文件等。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144"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知识产权</w:t>
            </w:r>
          </w:p>
          <w:p>
            <w:pPr>
              <w:jc w:val="center"/>
              <w:rPr>
                <w:rFonts w:hint="eastAsia" w:ascii="宋体" w:hAnsi="宋体" w:eastAsia="宋体" w:cs="宋体"/>
                <w:sz w:val="24"/>
                <w:szCs w:val="24"/>
              </w:rPr>
            </w:pPr>
            <w:r>
              <w:rPr>
                <w:rFonts w:hint="eastAsia" w:ascii="宋体" w:hAnsi="宋体" w:eastAsia="宋体" w:cs="宋体"/>
                <w:sz w:val="24"/>
                <w:szCs w:val="24"/>
              </w:rPr>
              <w:t>管理平台</w:t>
            </w:r>
          </w:p>
          <w:p>
            <w:pPr>
              <w:jc w:val="center"/>
              <w:rPr>
                <w:rFonts w:hint="eastAsia" w:ascii="宋体" w:hAnsi="宋体" w:eastAsia="宋体" w:cs="宋体"/>
                <w:sz w:val="24"/>
                <w:szCs w:val="24"/>
              </w:rPr>
            </w:pPr>
            <w:r>
              <w:rPr>
                <w:rFonts w:hint="eastAsia" w:ascii="宋体" w:hAnsi="宋体" w:eastAsia="宋体" w:cs="宋体"/>
                <w:sz w:val="24"/>
                <w:szCs w:val="24"/>
              </w:rPr>
              <w:t>★（质量管理）</w:t>
            </w:r>
          </w:p>
        </w:tc>
        <w:tc>
          <w:tcPr>
            <w:tcW w:w="6611" w:type="dxa"/>
            <w:gridSpan w:val="5"/>
            <w:vAlign w:val="center"/>
          </w:tcPr>
          <w:p>
            <w:pPr>
              <w:pStyle w:val="16"/>
              <w:numPr>
                <w:ilvl w:val="0"/>
                <w:numId w:val="3"/>
              </w:numPr>
              <w:ind w:firstLineChars="0"/>
              <w:rPr>
                <w:sz w:val="24"/>
              </w:rPr>
            </w:pPr>
            <w:r>
              <w:rPr>
                <w:sz w:val="24"/>
              </w:rPr>
              <w:t>建立质量审核机制，建立从课题专家到知产主管部门多层级审批环节，审批流程可自定义设置并可修改；</w:t>
            </w:r>
          </w:p>
          <w:p>
            <w:pPr>
              <w:pStyle w:val="16"/>
              <w:numPr>
                <w:ilvl w:val="0"/>
                <w:numId w:val="3"/>
              </w:numPr>
              <w:ind w:firstLineChars="0"/>
              <w:rPr>
                <w:sz w:val="24"/>
              </w:rPr>
            </w:pPr>
            <w:r>
              <w:rPr>
                <w:sz w:val="24"/>
              </w:rPr>
              <w:t>建立质量等级评估模型，可从案件撰写质量、服务水平、响应速度等角度评议分析，记录案件整体质量情况，并可形成质量评分报表；</w:t>
            </w:r>
          </w:p>
          <w:p>
            <w:pPr>
              <w:pStyle w:val="16"/>
              <w:numPr>
                <w:ilvl w:val="0"/>
                <w:numId w:val="3"/>
              </w:numPr>
              <w:ind w:firstLineChars="0"/>
              <w:rPr>
                <w:sz w:val="24"/>
              </w:rPr>
            </w:pPr>
            <w:r>
              <w:rPr>
                <w:sz w:val="24"/>
              </w:rPr>
              <w:t>自动检核说明书质量，从权利要求、附图、说明书等方面进行形式问题检索。检核规则包括：检查权利要求技术特征是否有引用基础、检查权利要求是否有多重附属、检查权利要求主题及其他形式问题、自动生成权利要求结构树、自动识别附图标号并产生元件符号表、核对元件对应附图及权利要求关系表、检查附图及附图标号是否在文件中有记载、检查元件名称与附图标号是否一致、检查重复、错别用词问题、自定义切词及禁用词库，全面多角度核稿等，支持用户自定义进行设置。（#视频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2144"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知识产权</w:t>
            </w:r>
          </w:p>
          <w:p>
            <w:pPr>
              <w:jc w:val="center"/>
              <w:rPr>
                <w:rFonts w:hint="eastAsia" w:ascii="宋体" w:hAnsi="宋体" w:eastAsia="宋体" w:cs="宋体"/>
                <w:sz w:val="24"/>
                <w:szCs w:val="24"/>
              </w:rPr>
            </w:pPr>
            <w:r>
              <w:rPr>
                <w:rFonts w:hint="eastAsia" w:ascii="宋体" w:hAnsi="宋体" w:eastAsia="宋体" w:cs="宋体"/>
                <w:sz w:val="24"/>
                <w:szCs w:val="24"/>
              </w:rPr>
              <w:t>管理平台</w:t>
            </w:r>
          </w:p>
          <w:p>
            <w:pPr>
              <w:jc w:val="center"/>
              <w:rPr>
                <w:rFonts w:hint="eastAsia" w:ascii="宋体" w:hAnsi="宋体" w:eastAsia="宋体" w:cs="宋体"/>
                <w:sz w:val="24"/>
                <w:szCs w:val="24"/>
              </w:rPr>
            </w:pPr>
            <w:r>
              <w:rPr>
                <w:rFonts w:hint="eastAsia" w:ascii="宋体" w:hAnsi="宋体" w:eastAsia="宋体" w:cs="宋体"/>
                <w:sz w:val="24"/>
                <w:szCs w:val="24"/>
              </w:rPr>
              <w:t>★（专利评估管理）</w:t>
            </w:r>
          </w:p>
        </w:tc>
        <w:tc>
          <w:tcPr>
            <w:tcW w:w="6611" w:type="dxa"/>
            <w:gridSpan w:val="5"/>
            <w:vAlign w:val="center"/>
          </w:tcPr>
          <w:p>
            <w:pPr>
              <w:pStyle w:val="16"/>
              <w:numPr>
                <w:ilvl w:val="0"/>
                <w:numId w:val="4"/>
              </w:numPr>
              <w:ind w:firstLineChars="0"/>
              <w:rPr>
                <w:sz w:val="24"/>
              </w:rPr>
            </w:pPr>
            <w:r>
              <w:rPr>
                <w:sz w:val="24"/>
              </w:rPr>
              <w:t>专利申请各阶段可在线启动评估流程，进行提案评估、主动修改评估、授权评估、分案/连续案评估、PCT申请评估、巴黎公约评估等；</w:t>
            </w:r>
          </w:p>
          <w:p>
            <w:pPr>
              <w:pStyle w:val="16"/>
              <w:numPr>
                <w:ilvl w:val="0"/>
                <w:numId w:val="4"/>
              </w:numPr>
              <w:ind w:firstLineChars="0"/>
              <w:rPr>
                <w:sz w:val="24"/>
              </w:rPr>
            </w:pPr>
            <w:r>
              <w:rPr>
                <w:sz w:val="24"/>
              </w:rPr>
              <w:t>评估维度及表单（包括打分及评语）、流程可灵活配置；</w:t>
            </w:r>
          </w:p>
          <w:p>
            <w:pPr>
              <w:pStyle w:val="16"/>
              <w:numPr>
                <w:ilvl w:val="0"/>
                <w:numId w:val="4"/>
              </w:numPr>
              <w:ind w:firstLineChars="0"/>
              <w:rPr>
                <w:sz w:val="24"/>
              </w:rPr>
            </w:pPr>
            <w:r>
              <w:rPr>
                <w:sz w:val="24"/>
              </w:rPr>
              <w:t>主动修改评估、PCT申请评估等可批量发起；</w:t>
            </w:r>
          </w:p>
          <w:p>
            <w:pPr>
              <w:pStyle w:val="16"/>
              <w:numPr>
                <w:ilvl w:val="0"/>
                <w:numId w:val="4"/>
              </w:numPr>
              <w:ind w:firstLineChars="0"/>
              <w:rPr>
                <w:sz w:val="24"/>
              </w:rPr>
            </w:pPr>
            <w:r>
              <w:rPr>
                <w:sz w:val="24"/>
              </w:rPr>
              <w:t>各评审环节支持邮件通知触发；</w:t>
            </w:r>
          </w:p>
          <w:p>
            <w:pPr>
              <w:pStyle w:val="16"/>
              <w:numPr>
                <w:ilvl w:val="0"/>
                <w:numId w:val="4"/>
              </w:numPr>
              <w:ind w:firstLineChars="0"/>
              <w:rPr>
                <w:sz w:val="24"/>
              </w:rPr>
            </w:pPr>
            <w:r>
              <w:rPr>
                <w:sz w:val="24"/>
              </w:rPr>
              <w:t>支持评审专家及时更新；</w:t>
            </w:r>
          </w:p>
          <w:p>
            <w:pPr>
              <w:pStyle w:val="16"/>
              <w:numPr>
                <w:ilvl w:val="0"/>
                <w:numId w:val="4"/>
              </w:numPr>
              <w:ind w:firstLineChars="0"/>
              <w:rPr>
                <w:sz w:val="24"/>
              </w:rPr>
            </w:pPr>
            <w:r>
              <w:rPr>
                <w:sz w:val="24"/>
              </w:rPr>
              <w:t>支持评审打分和评审意见，其中评审意见提供示例，评审打分能够预置规则进行简单的计算和统计；</w:t>
            </w:r>
          </w:p>
          <w:p>
            <w:pPr>
              <w:pStyle w:val="16"/>
              <w:numPr>
                <w:ilvl w:val="0"/>
                <w:numId w:val="4"/>
              </w:numPr>
              <w:ind w:firstLineChars="0"/>
              <w:rPr>
                <w:sz w:val="24"/>
              </w:rPr>
            </w:pPr>
            <w:r>
              <w:rPr>
                <w:sz w:val="24"/>
              </w:rPr>
              <w:t>支持技术评审专家驳回功能，技术评审专家驳回的案件后续IPR评审环节可见，且可进行退回至评审专家处操作；</w:t>
            </w:r>
          </w:p>
          <w:p>
            <w:pPr>
              <w:pStyle w:val="16"/>
              <w:numPr>
                <w:ilvl w:val="0"/>
                <w:numId w:val="4"/>
              </w:numPr>
              <w:ind w:firstLineChars="0"/>
              <w:rPr>
                <w:sz w:val="24"/>
              </w:rPr>
            </w:pPr>
            <w:r>
              <w:rPr>
                <w:sz w:val="24"/>
              </w:rPr>
              <w:t>可以配置不同院系的提案人提交的案件由不同的评审专家评审（评审专家数量和名单）；</w:t>
            </w:r>
          </w:p>
          <w:p>
            <w:pPr>
              <w:pStyle w:val="16"/>
              <w:numPr>
                <w:ilvl w:val="0"/>
                <w:numId w:val="4"/>
              </w:numPr>
              <w:ind w:firstLineChars="0"/>
              <w:rPr>
                <w:sz w:val="24"/>
              </w:rPr>
            </w:pPr>
            <w:r>
              <w:rPr>
                <w:sz w:val="24"/>
              </w:rPr>
              <w:t>支持加签等评审操作；</w:t>
            </w:r>
          </w:p>
          <w:p>
            <w:pPr>
              <w:pStyle w:val="16"/>
              <w:numPr>
                <w:ilvl w:val="0"/>
                <w:numId w:val="4"/>
              </w:numPr>
              <w:ind w:firstLineChars="0"/>
              <w:rPr>
                <w:sz w:val="24"/>
              </w:rPr>
            </w:pPr>
            <w:r>
              <w:rPr>
                <w:sz w:val="24"/>
              </w:rPr>
              <w:t>根据评分自动给出案件级别。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2144"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知识产权</w:t>
            </w:r>
          </w:p>
          <w:p>
            <w:pPr>
              <w:jc w:val="center"/>
              <w:rPr>
                <w:rFonts w:hint="eastAsia" w:ascii="宋体" w:hAnsi="宋体" w:eastAsia="宋体" w:cs="宋体"/>
                <w:sz w:val="24"/>
                <w:szCs w:val="24"/>
              </w:rPr>
            </w:pPr>
            <w:r>
              <w:rPr>
                <w:rFonts w:hint="eastAsia" w:ascii="宋体" w:hAnsi="宋体" w:eastAsia="宋体" w:cs="宋体"/>
                <w:sz w:val="24"/>
                <w:szCs w:val="24"/>
              </w:rPr>
              <w:t>管理平台</w:t>
            </w:r>
          </w:p>
          <w:p>
            <w:pPr>
              <w:jc w:val="center"/>
              <w:rPr>
                <w:rFonts w:hint="eastAsia" w:ascii="宋体" w:hAnsi="宋体" w:eastAsia="宋体" w:cs="宋体"/>
                <w:sz w:val="24"/>
                <w:szCs w:val="24"/>
              </w:rPr>
            </w:pPr>
            <w:r>
              <w:rPr>
                <w:rFonts w:hint="eastAsia" w:ascii="宋体" w:hAnsi="宋体" w:eastAsia="宋体" w:cs="宋体"/>
                <w:sz w:val="24"/>
                <w:szCs w:val="24"/>
              </w:rPr>
              <w:t>★（费用管理）</w:t>
            </w:r>
          </w:p>
        </w:tc>
        <w:tc>
          <w:tcPr>
            <w:tcW w:w="6611" w:type="dxa"/>
            <w:gridSpan w:val="5"/>
            <w:vAlign w:val="center"/>
          </w:tcPr>
          <w:p>
            <w:pPr>
              <w:pStyle w:val="16"/>
              <w:numPr>
                <w:ilvl w:val="0"/>
                <w:numId w:val="5"/>
              </w:numPr>
              <w:ind w:firstLineChars="0"/>
              <w:rPr>
                <w:sz w:val="24"/>
              </w:rPr>
            </w:pPr>
            <w:r>
              <w:rPr>
                <w:sz w:val="24"/>
              </w:rPr>
              <w:t>显示对未缴纳的各类费用提醒通知；能够按费用类型进行分类，有检索字段如时间、费用类型、缴费金额等，能够按时间；</w:t>
            </w:r>
          </w:p>
          <w:p>
            <w:pPr>
              <w:pStyle w:val="16"/>
              <w:numPr>
                <w:ilvl w:val="0"/>
                <w:numId w:val="5"/>
              </w:numPr>
              <w:ind w:firstLineChars="0"/>
              <w:rPr>
                <w:sz w:val="24"/>
              </w:rPr>
            </w:pPr>
            <w:r>
              <w:rPr>
                <w:sz w:val="24"/>
              </w:rPr>
              <w:t>费用分担：管理专利产权归属与对应的费用分担比例；</w:t>
            </w:r>
          </w:p>
          <w:p>
            <w:pPr>
              <w:pStyle w:val="16"/>
              <w:numPr>
                <w:ilvl w:val="0"/>
                <w:numId w:val="5"/>
              </w:numPr>
              <w:ind w:firstLineChars="0"/>
              <w:rPr>
                <w:sz w:val="24"/>
              </w:rPr>
            </w:pPr>
            <w:r>
              <w:rPr>
                <w:sz w:val="24"/>
              </w:rPr>
              <w:t>供专利费用预算，可自动计算下一年度年费缴纳金额和期限、新申请案件缴纳金额和期限、国内涉外案件缴纳金额和期限、奖励金额和期限等，数据支持导出；</w:t>
            </w:r>
          </w:p>
          <w:p>
            <w:pPr>
              <w:pStyle w:val="16"/>
              <w:ind w:left="360" w:firstLine="0" w:firstLineChars="0"/>
              <w:rPr>
                <w:sz w:val="24"/>
              </w:rPr>
            </w:pPr>
            <w:r>
              <w:rPr>
                <w:sz w:val="24"/>
              </w:rPr>
              <w:t>能够对未来几年需要缴纳的费用进行预算统计，导出相应明细，有检索字段如时间、缴费金额等。费用预算：预算未来费用缴纳费用；</w:t>
            </w:r>
          </w:p>
          <w:p>
            <w:pPr>
              <w:pStyle w:val="16"/>
              <w:numPr>
                <w:ilvl w:val="0"/>
                <w:numId w:val="5"/>
              </w:numPr>
              <w:ind w:firstLineChars="0"/>
              <w:rPr>
                <w:sz w:val="24"/>
              </w:rPr>
            </w:pPr>
            <w:r>
              <w:rPr>
                <w:sz w:val="24"/>
              </w:rPr>
              <w:t>对缴费后相关费用档案管理。以批量缴费明细为基础，将所有明细、收据等相关信息存档；能够根据专利编号快速查找相关收据；</w:t>
            </w:r>
          </w:p>
          <w:p>
            <w:pPr>
              <w:pStyle w:val="16"/>
              <w:numPr>
                <w:ilvl w:val="0"/>
                <w:numId w:val="5"/>
              </w:numPr>
              <w:ind w:firstLineChars="0"/>
              <w:rPr>
                <w:sz w:val="24"/>
              </w:rPr>
            </w:pPr>
            <w:r>
              <w:rPr>
                <w:sz w:val="24"/>
              </w:rPr>
              <w:t>供专利申请过程中的各类费用管理；</w:t>
            </w:r>
          </w:p>
          <w:p>
            <w:pPr>
              <w:pStyle w:val="16"/>
              <w:ind w:left="360" w:firstLine="0" w:firstLineChars="0"/>
              <w:rPr>
                <w:sz w:val="24"/>
              </w:rPr>
            </w:pPr>
            <w:r>
              <w:rPr>
                <w:sz w:val="24"/>
              </w:rPr>
              <w:t>系统可自动计算各专利代理费、申请费、实审费、办登费（年费、登记费、印花税分开）、当前年费等；有检索字段如费用类型、金额等；能够根据需求导出相应表格。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2144"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知识产权</w:t>
            </w:r>
          </w:p>
          <w:p>
            <w:pPr>
              <w:jc w:val="center"/>
              <w:rPr>
                <w:rFonts w:hint="eastAsia" w:ascii="宋体" w:hAnsi="宋体" w:eastAsia="宋体" w:cs="宋体"/>
                <w:sz w:val="24"/>
                <w:szCs w:val="24"/>
              </w:rPr>
            </w:pPr>
            <w:r>
              <w:rPr>
                <w:rFonts w:hint="eastAsia" w:ascii="宋体" w:hAnsi="宋体" w:eastAsia="宋体" w:cs="宋体"/>
                <w:sz w:val="24"/>
                <w:szCs w:val="24"/>
              </w:rPr>
              <w:t>协同平台</w:t>
            </w:r>
          </w:p>
          <w:p>
            <w:pPr>
              <w:jc w:val="center"/>
              <w:rPr>
                <w:rFonts w:hint="eastAsia" w:ascii="宋体" w:hAnsi="宋体" w:eastAsia="宋体" w:cs="宋体"/>
                <w:sz w:val="24"/>
                <w:szCs w:val="24"/>
              </w:rPr>
            </w:pPr>
            <w:r>
              <w:rPr>
                <w:rFonts w:hint="eastAsia" w:ascii="宋体" w:hAnsi="宋体" w:eastAsia="宋体" w:cs="宋体"/>
                <w:sz w:val="24"/>
                <w:szCs w:val="24"/>
              </w:rPr>
              <w:t>★（代理协同）</w:t>
            </w:r>
          </w:p>
        </w:tc>
        <w:tc>
          <w:tcPr>
            <w:tcW w:w="6611" w:type="dxa"/>
            <w:gridSpan w:val="5"/>
            <w:vAlign w:val="center"/>
          </w:tcPr>
          <w:p>
            <w:pPr>
              <w:pStyle w:val="16"/>
              <w:numPr>
                <w:ilvl w:val="0"/>
                <w:numId w:val="6"/>
              </w:numPr>
              <w:ind w:firstLineChars="0"/>
              <w:rPr>
                <w:sz w:val="24"/>
              </w:rPr>
            </w:pPr>
            <w:r>
              <w:rPr>
                <w:sz w:val="24"/>
              </w:rPr>
              <w:t>支持案件批量委托功能；委托代理机构的情况下，系统自动记录委托日和代理机构确认委托日；可设置申请文件初稿期限和递交期限，系统自动记录申请文件初稿返稿日、定稿日等；</w:t>
            </w:r>
          </w:p>
          <w:p>
            <w:pPr>
              <w:pStyle w:val="16"/>
              <w:numPr>
                <w:ilvl w:val="0"/>
                <w:numId w:val="6"/>
              </w:numPr>
              <w:ind w:firstLineChars="0"/>
              <w:rPr>
                <w:sz w:val="24"/>
              </w:rPr>
            </w:pPr>
            <w:r>
              <w:rPr>
                <w:sz w:val="24"/>
              </w:rPr>
              <w:t>核稿管理：代理机构撰稿文件可线上进行稿件审核流程，并记录撰稿得分，便于评估代理所品质，并配合邮件提醒机制；</w:t>
            </w:r>
          </w:p>
          <w:p>
            <w:pPr>
              <w:pStyle w:val="16"/>
              <w:numPr>
                <w:ilvl w:val="0"/>
                <w:numId w:val="6"/>
              </w:numPr>
              <w:ind w:firstLineChars="0"/>
              <w:rPr>
                <w:sz w:val="24"/>
              </w:rPr>
            </w:pPr>
            <w:r>
              <w:rPr>
                <w:sz w:val="24"/>
              </w:rPr>
              <w:t>支持文件解析包含对ZIP档文件，如通过上传官方文件解析并读取文件的基本信息后自动录入系统项目中；</w:t>
            </w:r>
          </w:p>
          <w:p>
            <w:pPr>
              <w:pStyle w:val="16"/>
              <w:numPr>
                <w:ilvl w:val="0"/>
                <w:numId w:val="6"/>
              </w:numPr>
              <w:ind w:firstLineChars="0"/>
              <w:rPr>
                <w:sz w:val="24"/>
              </w:rPr>
            </w:pPr>
            <w:r>
              <w:rPr>
                <w:sz w:val="24"/>
              </w:rPr>
              <w:t>国内专利申请过程中OA答复管理：通过代理协同，代理所上传OA通知后，系统能够通过邮件和待办通知的形式进行提醒；</w:t>
            </w:r>
          </w:p>
          <w:p>
            <w:pPr>
              <w:pStyle w:val="16"/>
              <w:numPr>
                <w:ilvl w:val="0"/>
                <w:numId w:val="6"/>
              </w:numPr>
              <w:ind w:firstLineChars="0"/>
              <w:rPr>
                <w:sz w:val="24"/>
              </w:rPr>
            </w:pPr>
            <w:r>
              <w:rPr>
                <w:sz w:val="24"/>
              </w:rPr>
              <w:t>信息协管：代理机构协同高校管理案件信息；</w:t>
            </w:r>
          </w:p>
          <w:p>
            <w:pPr>
              <w:pStyle w:val="16"/>
              <w:numPr>
                <w:ilvl w:val="0"/>
                <w:numId w:val="6"/>
              </w:numPr>
              <w:ind w:firstLineChars="0"/>
              <w:rPr>
                <w:sz w:val="24"/>
              </w:rPr>
            </w:pPr>
            <w:r>
              <w:rPr>
                <w:sz w:val="24"/>
              </w:rPr>
              <w:t>请款管理：代理机构线上请款，请款过程e化处理。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2144"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知识产权</w:t>
            </w:r>
          </w:p>
          <w:p>
            <w:pPr>
              <w:jc w:val="center"/>
              <w:rPr>
                <w:rFonts w:hint="eastAsia" w:ascii="宋体" w:hAnsi="宋体" w:eastAsia="宋体" w:cs="宋体"/>
                <w:sz w:val="24"/>
                <w:szCs w:val="24"/>
              </w:rPr>
            </w:pPr>
            <w:r>
              <w:rPr>
                <w:rFonts w:hint="eastAsia" w:ascii="宋体" w:hAnsi="宋体" w:eastAsia="宋体" w:cs="宋体"/>
                <w:sz w:val="24"/>
                <w:szCs w:val="24"/>
              </w:rPr>
              <w:t>协同平台</w:t>
            </w:r>
          </w:p>
          <w:p>
            <w:pPr>
              <w:jc w:val="cente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（CPC对接）</w:t>
            </w:r>
          </w:p>
        </w:tc>
        <w:tc>
          <w:tcPr>
            <w:tcW w:w="6611" w:type="dxa"/>
            <w:gridSpan w:val="5"/>
            <w:vAlign w:val="center"/>
          </w:tcPr>
          <w:p>
            <w:pPr>
              <w:pStyle w:val="16"/>
              <w:numPr>
                <w:ilvl w:val="0"/>
                <w:numId w:val="7"/>
              </w:numPr>
              <w:ind w:firstLineChars="0"/>
              <w:rPr>
                <w:sz w:val="24"/>
              </w:rPr>
            </w:pPr>
            <w:r>
              <w:rPr>
                <w:sz w:val="24"/>
              </w:rPr>
              <w:t>无缝对接CPC，智能拆分说明书并自动生成请求书等CPC官方标准格式文件；</w:t>
            </w:r>
          </w:p>
          <w:p>
            <w:pPr>
              <w:pStyle w:val="16"/>
              <w:numPr>
                <w:ilvl w:val="0"/>
                <w:numId w:val="7"/>
              </w:numPr>
              <w:ind w:firstLineChars="0"/>
              <w:rPr>
                <w:sz w:val="24"/>
              </w:rPr>
            </w:pPr>
            <w:r>
              <w:rPr>
                <w:sz w:val="24"/>
              </w:rPr>
              <w:t>上交官方文件无需人工干预，自动导入CPC客户端程序中；</w:t>
            </w:r>
          </w:p>
          <w:p>
            <w:pPr>
              <w:pStyle w:val="16"/>
              <w:numPr>
                <w:ilvl w:val="0"/>
                <w:numId w:val="7"/>
              </w:numPr>
              <w:ind w:firstLineChars="0"/>
              <w:rPr>
                <w:sz w:val="24"/>
              </w:rPr>
            </w:pPr>
            <w:r>
              <w:rPr>
                <w:sz w:val="24"/>
              </w:rPr>
              <w:t>文件生成格式可选择pdf或xml格式；</w:t>
            </w:r>
          </w:p>
          <w:p>
            <w:pPr>
              <w:pStyle w:val="16"/>
              <w:numPr>
                <w:ilvl w:val="0"/>
                <w:numId w:val="7"/>
              </w:numPr>
              <w:ind w:firstLineChars="0"/>
              <w:rPr>
                <w:sz w:val="24"/>
              </w:rPr>
            </w:pPr>
            <w:r>
              <w:rPr>
                <w:sz w:val="24"/>
              </w:rPr>
              <w:t>递交官方文件可设置审批流程，进行文件质量管控；</w:t>
            </w:r>
          </w:p>
          <w:p>
            <w:pPr>
              <w:pStyle w:val="16"/>
              <w:numPr>
                <w:ilvl w:val="0"/>
                <w:numId w:val="7"/>
              </w:numPr>
              <w:ind w:firstLineChars="0"/>
              <w:rPr>
                <w:sz w:val="24"/>
              </w:rPr>
            </w:pPr>
            <w:r>
              <w:rPr>
                <w:sz w:val="24"/>
              </w:rPr>
              <w:t>批量接收并智能分析官方通知书文件，自动导入系统并自动依通知书规则智能处理，自动更新案件状态、新增事项、提取并更新通知书内容、自动更新官费等；</w:t>
            </w:r>
          </w:p>
          <w:p>
            <w:pPr>
              <w:pStyle w:val="16"/>
              <w:numPr>
                <w:ilvl w:val="0"/>
                <w:numId w:val="7"/>
              </w:numPr>
              <w:ind w:firstLineChars="0"/>
              <w:rPr>
                <w:sz w:val="24"/>
              </w:rPr>
            </w:pPr>
            <w:r>
              <w:rPr>
                <w:sz w:val="24"/>
              </w:rPr>
              <w:t>自动批量申请官方盖章电子版通知书并可批量下载导入系统；</w:t>
            </w:r>
          </w:p>
          <w:p>
            <w:pPr>
              <w:pStyle w:val="16"/>
              <w:numPr>
                <w:ilvl w:val="0"/>
                <w:numId w:val="7"/>
              </w:numPr>
              <w:ind w:firstLineChars="0"/>
              <w:rPr>
                <w:sz w:val="24"/>
              </w:rPr>
            </w:pPr>
            <w:r>
              <w:rPr>
                <w:sz w:val="24"/>
              </w:rPr>
              <w:t>自动批量申请官方电子证书并可批量下载导入系统；</w:t>
            </w:r>
          </w:p>
          <w:p>
            <w:pPr>
              <w:pStyle w:val="16"/>
              <w:numPr>
                <w:ilvl w:val="0"/>
                <w:numId w:val="7"/>
              </w:numPr>
              <w:ind w:firstLineChars="0"/>
              <w:rPr>
                <w:sz w:val="24"/>
              </w:rPr>
            </w:pPr>
            <w:r>
              <w:rPr>
                <w:sz w:val="24"/>
              </w:rPr>
              <w:t>纸质文件，包括官方收据、纸质通知书等可批量分析并导入对应案件。</w:t>
            </w:r>
          </w:p>
          <w:p>
            <w:pPr>
              <w:pStyle w:val="16"/>
              <w:ind w:left="360" w:firstLine="0" w:firstLineChars="0"/>
              <w:rPr>
                <w:sz w:val="24"/>
              </w:rPr>
            </w:pPr>
            <w:r>
              <w:rPr>
                <w:sz w:val="24"/>
              </w:rPr>
              <w:t>（#视频演示）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2144"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知识产权</w:t>
            </w:r>
          </w:p>
          <w:p>
            <w:pPr>
              <w:jc w:val="center"/>
              <w:rPr>
                <w:rFonts w:hint="eastAsia" w:ascii="宋体" w:hAnsi="宋体" w:eastAsia="宋体" w:cs="宋体"/>
                <w:sz w:val="24"/>
                <w:szCs w:val="24"/>
              </w:rPr>
            </w:pPr>
            <w:r>
              <w:rPr>
                <w:rFonts w:hint="eastAsia" w:ascii="宋体" w:hAnsi="宋体" w:eastAsia="宋体" w:cs="宋体"/>
                <w:sz w:val="24"/>
                <w:szCs w:val="24"/>
              </w:rPr>
              <w:t>协同平台</w:t>
            </w:r>
          </w:p>
          <w:p>
            <w:pPr>
              <w:jc w:val="cente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（CEPCT对接）</w:t>
            </w:r>
          </w:p>
        </w:tc>
        <w:tc>
          <w:tcPr>
            <w:tcW w:w="6611" w:type="dxa"/>
            <w:gridSpan w:val="5"/>
            <w:vAlign w:val="center"/>
          </w:tcPr>
          <w:p>
            <w:pPr>
              <w:pStyle w:val="16"/>
              <w:numPr>
                <w:ilvl w:val="0"/>
                <w:numId w:val="8"/>
              </w:numPr>
              <w:ind w:firstLineChars="0"/>
              <w:rPr>
                <w:sz w:val="24"/>
              </w:rPr>
            </w:pPr>
            <w:r>
              <w:rPr>
                <w:sz w:val="24"/>
              </w:rPr>
              <w:t>无缝对接CEPCT，智能拆分说明书并自动生成请求书等CEPCT官方标准格式文件；</w:t>
            </w:r>
          </w:p>
          <w:p>
            <w:pPr>
              <w:pStyle w:val="16"/>
              <w:numPr>
                <w:ilvl w:val="0"/>
                <w:numId w:val="8"/>
              </w:numPr>
              <w:ind w:firstLineChars="0"/>
              <w:rPr>
                <w:sz w:val="24"/>
              </w:rPr>
            </w:pPr>
            <w:r>
              <w:rPr>
                <w:sz w:val="24"/>
              </w:rPr>
              <w:t>上交官方文件无需人工干预，自动导入CEPCT客户端中；</w:t>
            </w:r>
          </w:p>
          <w:p>
            <w:pPr>
              <w:pStyle w:val="16"/>
              <w:numPr>
                <w:ilvl w:val="0"/>
                <w:numId w:val="8"/>
              </w:numPr>
              <w:ind w:firstLineChars="0"/>
              <w:rPr>
                <w:sz w:val="24"/>
              </w:rPr>
            </w:pPr>
            <w:r>
              <w:rPr>
                <w:sz w:val="24"/>
              </w:rPr>
              <w:t>文件生成格式可选择pdf或xml格式；</w:t>
            </w:r>
          </w:p>
          <w:p>
            <w:pPr>
              <w:pStyle w:val="16"/>
              <w:numPr>
                <w:ilvl w:val="0"/>
                <w:numId w:val="8"/>
              </w:numPr>
              <w:ind w:firstLineChars="0"/>
              <w:rPr>
                <w:sz w:val="24"/>
              </w:rPr>
            </w:pPr>
            <w:r>
              <w:rPr>
                <w:sz w:val="24"/>
              </w:rPr>
              <w:t>递交官方文件可设置审批流程，进行文件质量管控；</w:t>
            </w:r>
          </w:p>
          <w:p>
            <w:pPr>
              <w:pStyle w:val="16"/>
              <w:numPr>
                <w:ilvl w:val="0"/>
                <w:numId w:val="8"/>
              </w:numPr>
              <w:ind w:firstLineChars="0"/>
              <w:rPr>
                <w:sz w:val="24"/>
              </w:rPr>
            </w:pPr>
            <w:r>
              <w:rPr>
                <w:sz w:val="24"/>
              </w:rPr>
              <w:t>批量接收并智能分析官方通知书文件，自动导入系统并自动依通知书规则智能处理，自动更新案件状态、新增事项、提取并更新通知书内容、自动更新官费等；</w:t>
            </w:r>
          </w:p>
          <w:p>
            <w:pPr>
              <w:pStyle w:val="16"/>
              <w:numPr>
                <w:ilvl w:val="0"/>
                <w:numId w:val="8"/>
              </w:numPr>
              <w:ind w:firstLineChars="0"/>
              <w:rPr>
                <w:sz w:val="24"/>
              </w:rPr>
            </w:pPr>
            <w:r>
              <w:rPr>
                <w:sz w:val="24"/>
              </w:rPr>
              <w:t>自动批量申请官方盖章电子版通知书并可批量下载导入系统；</w:t>
            </w:r>
          </w:p>
          <w:p>
            <w:pPr>
              <w:pStyle w:val="16"/>
              <w:numPr>
                <w:ilvl w:val="0"/>
                <w:numId w:val="8"/>
              </w:numPr>
              <w:ind w:firstLineChars="0"/>
              <w:rPr>
                <w:sz w:val="24"/>
              </w:rPr>
            </w:pPr>
            <w:r>
              <w:rPr>
                <w:sz w:val="24"/>
              </w:rPr>
              <w:t>自动批量申请官方电子证书并可批量下载导入系统；</w:t>
            </w:r>
          </w:p>
          <w:p>
            <w:pPr>
              <w:pStyle w:val="16"/>
              <w:numPr>
                <w:ilvl w:val="0"/>
                <w:numId w:val="8"/>
              </w:numPr>
              <w:ind w:firstLineChars="0"/>
              <w:rPr>
                <w:sz w:val="24"/>
              </w:rPr>
            </w:pPr>
            <w:r>
              <w:rPr>
                <w:sz w:val="24"/>
              </w:rPr>
              <w:t>纸质文件，包括官方收据、纸质通知书等可批量分析并导入对应案件。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2144"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知识产权</w:t>
            </w:r>
          </w:p>
          <w:p>
            <w:pPr>
              <w:jc w:val="center"/>
              <w:rPr>
                <w:rFonts w:hint="eastAsia" w:ascii="宋体" w:hAnsi="宋体" w:eastAsia="宋体" w:cs="宋体"/>
                <w:sz w:val="24"/>
                <w:szCs w:val="24"/>
              </w:rPr>
            </w:pPr>
            <w:r>
              <w:rPr>
                <w:rFonts w:hint="eastAsia" w:ascii="宋体" w:hAnsi="宋体" w:eastAsia="宋体" w:cs="宋体"/>
                <w:sz w:val="24"/>
                <w:szCs w:val="24"/>
              </w:rPr>
              <w:t>运营平台</w:t>
            </w:r>
          </w:p>
          <w:p>
            <w:pPr>
              <w:jc w:val="center"/>
              <w:rPr>
                <w:rFonts w:hint="eastAsia" w:ascii="宋体" w:hAnsi="宋体" w:eastAsia="宋体" w:cs="宋体"/>
                <w:sz w:val="24"/>
                <w:szCs w:val="24"/>
              </w:rPr>
            </w:pPr>
            <w:r>
              <w:rPr>
                <w:rFonts w:hint="eastAsia" w:ascii="宋体" w:hAnsi="宋体" w:eastAsia="宋体" w:cs="宋体"/>
                <w:sz w:val="24"/>
                <w:szCs w:val="24"/>
              </w:rPr>
              <w:t>（知识产成果信息发布）</w:t>
            </w:r>
          </w:p>
        </w:tc>
        <w:tc>
          <w:tcPr>
            <w:tcW w:w="6611" w:type="dxa"/>
            <w:gridSpan w:val="5"/>
            <w:vAlign w:val="center"/>
          </w:tcPr>
          <w:p>
            <w:pPr>
              <w:pStyle w:val="16"/>
              <w:numPr>
                <w:ilvl w:val="0"/>
                <w:numId w:val="9"/>
              </w:numPr>
              <w:ind w:firstLineChars="0"/>
              <w:rPr>
                <w:sz w:val="24"/>
              </w:rPr>
            </w:pPr>
            <w:r>
              <w:rPr>
                <w:sz w:val="24"/>
              </w:rPr>
              <w:t>支持成果信息发布和管理；</w:t>
            </w:r>
          </w:p>
          <w:p>
            <w:pPr>
              <w:pStyle w:val="16"/>
              <w:numPr>
                <w:ilvl w:val="0"/>
                <w:numId w:val="9"/>
              </w:numPr>
              <w:ind w:firstLineChars="0"/>
              <w:rPr>
                <w:sz w:val="24"/>
              </w:rPr>
            </w:pPr>
            <w:r>
              <w:rPr>
                <w:sz w:val="24"/>
              </w:rPr>
              <w:t>自定义设置公示公告、成果展示（分类）等模块；</w:t>
            </w:r>
          </w:p>
          <w:p>
            <w:pPr>
              <w:pStyle w:val="16"/>
              <w:numPr>
                <w:ilvl w:val="0"/>
                <w:numId w:val="9"/>
              </w:numPr>
              <w:ind w:firstLineChars="0"/>
              <w:rPr>
                <w:sz w:val="24"/>
              </w:rPr>
            </w:pPr>
            <w:r>
              <w:rPr>
                <w:sz w:val="24"/>
              </w:rPr>
              <w:t>支持模板、公告、手册、通知等信息发布；</w:t>
            </w:r>
          </w:p>
          <w:p>
            <w:pPr>
              <w:pStyle w:val="16"/>
              <w:numPr>
                <w:ilvl w:val="0"/>
                <w:numId w:val="9"/>
              </w:numPr>
              <w:ind w:firstLineChars="0"/>
              <w:rPr>
                <w:sz w:val="24"/>
              </w:rPr>
            </w:pPr>
            <w:r>
              <w:rPr>
                <w:sz w:val="24"/>
              </w:rPr>
              <w:t>关键成果信息可设置滚动条方式在首页进行滚动展示；</w:t>
            </w:r>
          </w:p>
          <w:p>
            <w:pPr>
              <w:pStyle w:val="16"/>
              <w:numPr>
                <w:ilvl w:val="0"/>
                <w:numId w:val="9"/>
              </w:numPr>
              <w:ind w:firstLineChars="0"/>
              <w:rPr>
                <w:sz w:val="24"/>
              </w:rPr>
            </w:pPr>
            <w:r>
              <w:rPr>
                <w:sz w:val="24"/>
              </w:rPr>
              <w:t>成果模块可设置权限，授权权限内人员进行信息查看。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2144"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知识产权</w:t>
            </w:r>
          </w:p>
          <w:p>
            <w:pPr>
              <w:jc w:val="center"/>
              <w:rPr>
                <w:rFonts w:hint="eastAsia" w:ascii="宋体" w:hAnsi="宋体" w:eastAsia="宋体" w:cs="宋体"/>
                <w:sz w:val="24"/>
                <w:szCs w:val="24"/>
              </w:rPr>
            </w:pPr>
            <w:r>
              <w:rPr>
                <w:rFonts w:hint="eastAsia" w:ascii="宋体" w:hAnsi="宋体" w:eastAsia="宋体" w:cs="宋体"/>
                <w:sz w:val="24"/>
                <w:szCs w:val="24"/>
              </w:rPr>
              <w:t>运营平台</w:t>
            </w:r>
          </w:p>
          <w:p>
            <w:pPr>
              <w:jc w:val="center"/>
              <w:rPr>
                <w:rFonts w:hint="eastAsia" w:ascii="宋体" w:hAnsi="宋体" w:eastAsia="宋体" w:cs="宋体"/>
                <w:sz w:val="24"/>
                <w:szCs w:val="24"/>
              </w:rPr>
            </w:pPr>
            <w:r>
              <w:rPr>
                <w:rFonts w:hint="eastAsia" w:ascii="宋体" w:hAnsi="宋体" w:eastAsia="宋体" w:cs="宋体"/>
                <w:sz w:val="24"/>
                <w:szCs w:val="24"/>
              </w:rPr>
              <w:t>（知识产权成果分级管理）</w:t>
            </w:r>
          </w:p>
        </w:tc>
        <w:tc>
          <w:tcPr>
            <w:tcW w:w="6611" w:type="dxa"/>
            <w:gridSpan w:val="5"/>
            <w:vAlign w:val="center"/>
          </w:tcPr>
          <w:p>
            <w:pPr>
              <w:pStyle w:val="16"/>
              <w:numPr>
                <w:ilvl w:val="0"/>
                <w:numId w:val="10"/>
              </w:numPr>
              <w:ind w:firstLineChars="0"/>
              <w:rPr>
                <w:sz w:val="24"/>
              </w:rPr>
            </w:pPr>
            <w:r>
              <w:rPr>
                <w:sz w:val="24"/>
              </w:rPr>
              <w:t>实现知识产权成果分级管理；</w:t>
            </w:r>
          </w:p>
          <w:p>
            <w:pPr>
              <w:pStyle w:val="16"/>
              <w:numPr>
                <w:ilvl w:val="0"/>
                <w:numId w:val="10"/>
              </w:numPr>
              <w:ind w:firstLineChars="0"/>
              <w:rPr>
                <w:sz w:val="24"/>
              </w:rPr>
            </w:pPr>
            <w:r>
              <w:rPr>
                <w:sz w:val="24"/>
              </w:rPr>
              <w:t>成果分级评估维度及表单（包括打分及评语）、流程可灵活配置；</w:t>
            </w:r>
          </w:p>
          <w:p>
            <w:pPr>
              <w:pStyle w:val="16"/>
              <w:numPr>
                <w:ilvl w:val="0"/>
                <w:numId w:val="10"/>
              </w:numPr>
              <w:ind w:firstLineChars="0"/>
              <w:rPr>
                <w:sz w:val="24"/>
              </w:rPr>
            </w:pPr>
            <w:r>
              <w:rPr>
                <w:sz w:val="24"/>
              </w:rPr>
              <w:t>可批量发起知识产权成果评估；</w:t>
            </w:r>
          </w:p>
          <w:p>
            <w:pPr>
              <w:pStyle w:val="16"/>
              <w:numPr>
                <w:ilvl w:val="0"/>
                <w:numId w:val="10"/>
              </w:numPr>
              <w:ind w:firstLineChars="0"/>
              <w:rPr>
                <w:sz w:val="24"/>
              </w:rPr>
            </w:pPr>
            <w:r>
              <w:rPr>
                <w:sz w:val="24"/>
              </w:rPr>
              <w:t>各评估环节支持邮件通知触发；</w:t>
            </w:r>
          </w:p>
          <w:p>
            <w:pPr>
              <w:pStyle w:val="16"/>
              <w:numPr>
                <w:ilvl w:val="0"/>
                <w:numId w:val="10"/>
              </w:numPr>
              <w:ind w:firstLineChars="0"/>
              <w:rPr>
                <w:sz w:val="24"/>
              </w:rPr>
            </w:pPr>
            <w:r>
              <w:rPr>
                <w:sz w:val="24"/>
              </w:rPr>
              <w:t>支持评审分级和评审意见，其中评审意见提供示例，评审分级能够预置规则进行简单的计算和统计；</w:t>
            </w:r>
          </w:p>
          <w:p>
            <w:pPr>
              <w:pStyle w:val="16"/>
              <w:numPr>
                <w:ilvl w:val="0"/>
                <w:numId w:val="10"/>
              </w:numPr>
              <w:ind w:firstLineChars="0"/>
              <w:rPr>
                <w:sz w:val="24"/>
              </w:rPr>
            </w:pPr>
            <w:r>
              <w:rPr>
                <w:sz w:val="24"/>
              </w:rPr>
              <w:t>可以配置不同院系的知识产权案件由不同的评审专家评审；</w:t>
            </w:r>
          </w:p>
          <w:p>
            <w:pPr>
              <w:pStyle w:val="16"/>
              <w:numPr>
                <w:ilvl w:val="0"/>
                <w:numId w:val="10"/>
              </w:numPr>
              <w:ind w:firstLineChars="0"/>
              <w:rPr>
                <w:sz w:val="24"/>
              </w:rPr>
            </w:pPr>
            <w:r>
              <w:rPr>
                <w:sz w:val="24"/>
              </w:rPr>
              <w:t>根据评估结果建立不同等级知识产权管理库；</w:t>
            </w:r>
          </w:p>
          <w:p>
            <w:pPr>
              <w:pStyle w:val="16"/>
              <w:numPr>
                <w:ilvl w:val="0"/>
                <w:numId w:val="10"/>
              </w:numPr>
              <w:ind w:firstLineChars="0"/>
              <w:rPr>
                <w:sz w:val="24"/>
              </w:rPr>
            </w:pPr>
            <w:r>
              <w:rPr>
                <w:sz w:val="24"/>
              </w:rPr>
              <w:t>分级展示与管理成果。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8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2144"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知识产权</w:t>
            </w:r>
          </w:p>
          <w:p>
            <w:pPr>
              <w:jc w:val="center"/>
              <w:rPr>
                <w:rFonts w:hint="eastAsia" w:ascii="宋体" w:hAnsi="宋体" w:eastAsia="宋体" w:cs="宋体"/>
                <w:sz w:val="24"/>
                <w:szCs w:val="24"/>
              </w:rPr>
            </w:pPr>
            <w:r>
              <w:rPr>
                <w:rFonts w:hint="eastAsia" w:ascii="宋体" w:hAnsi="宋体" w:eastAsia="宋体" w:cs="宋体"/>
                <w:sz w:val="24"/>
                <w:szCs w:val="24"/>
              </w:rPr>
              <w:t>运营平台</w:t>
            </w:r>
          </w:p>
          <w:p>
            <w:pPr>
              <w:jc w:val="center"/>
              <w:rPr>
                <w:rFonts w:hint="eastAsia" w:ascii="宋体" w:hAnsi="宋体" w:eastAsia="宋体" w:cs="宋体"/>
                <w:sz w:val="24"/>
                <w:szCs w:val="24"/>
              </w:rPr>
            </w:pPr>
            <w:r>
              <w:rPr>
                <w:rFonts w:hint="eastAsia" w:ascii="宋体" w:hAnsi="宋体" w:eastAsia="宋体" w:cs="宋体"/>
                <w:sz w:val="24"/>
                <w:szCs w:val="24"/>
              </w:rPr>
              <w:t>（转化运用管理）</w:t>
            </w:r>
          </w:p>
        </w:tc>
        <w:tc>
          <w:tcPr>
            <w:tcW w:w="6611" w:type="dxa"/>
            <w:gridSpan w:val="5"/>
            <w:vAlign w:val="center"/>
          </w:tcPr>
          <w:p>
            <w:pPr>
              <w:pStyle w:val="16"/>
              <w:numPr>
                <w:ilvl w:val="0"/>
                <w:numId w:val="11"/>
              </w:numPr>
              <w:ind w:firstLineChars="0"/>
              <w:rPr>
                <w:sz w:val="24"/>
              </w:rPr>
            </w:pPr>
            <w:r>
              <w:rPr>
                <w:sz w:val="24"/>
              </w:rPr>
              <w:t>管理转化项目运用过程信息；</w:t>
            </w:r>
          </w:p>
          <w:p>
            <w:pPr>
              <w:pStyle w:val="16"/>
              <w:numPr>
                <w:ilvl w:val="0"/>
                <w:numId w:val="11"/>
              </w:numPr>
              <w:ind w:firstLineChars="0"/>
              <w:rPr>
                <w:sz w:val="24"/>
              </w:rPr>
            </w:pPr>
            <w:r>
              <w:rPr>
                <w:sz w:val="24"/>
              </w:rPr>
              <w:t>支持合同线上新建及审批；</w:t>
            </w:r>
          </w:p>
          <w:p>
            <w:pPr>
              <w:pStyle w:val="16"/>
              <w:numPr>
                <w:ilvl w:val="0"/>
                <w:numId w:val="11"/>
              </w:numPr>
              <w:ind w:firstLineChars="0"/>
              <w:rPr>
                <w:sz w:val="24"/>
              </w:rPr>
            </w:pPr>
            <w:r>
              <w:rPr>
                <w:sz w:val="24"/>
              </w:rPr>
              <w:t>支持合同主体等信息变更流程发起及审批；</w:t>
            </w:r>
          </w:p>
          <w:p>
            <w:pPr>
              <w:pStyle w:val="16"/>
              <w:numPr>
                <w:ilvl w:val="0"/>
                <w:numId w:val="11"/>
              </w:numPr>
              <w:ind w:firstLineChars="0"/>
              <w:rPr>
                <w:sz w:val="24"/>
              </w:rPr>
            </w:pPr>
            <w:r>
              <w:rPr>
                <w:sz w:val="24"/>
              </w:rPr>
              <w:t>支持项目结项流程发起及审批归档；</w:t>
            </w:r>
          </w:p>
          <w:p>
            <w:pPr>
              <w:pStyle w:val="16"/>
              <w:numPr>
                <w:ilvl w:val="0"/>
                <w:numId w:val="11"/>
              </w:numPr>
              <w:ind w:firstLineChars="0"/>
              <w:rPr>
                <w:sz w:val="24"/>
              </w:rPr>
            </w:pPr>
            <w:r>
              <w:rPr>
                <w:sz w:val="24"/>
              </w:rPr>
              <w:t>支持项目免税申报流程发起及审批归档；</w:t>
            </w:r>
          </w:p>
          <w:p>
            <w:pPr>
              <w:pStyle w:val="16"/>
              <w:numPr>
                <w:ilvl w:val="0"/>
                <w:numId w:val="11"/>
              </w:numPr>
              <w:ind w:firstLineChars="0"/>
              <w:rPr>
                <w:sz w:val="24"/>
              </w:rPr>
            </w:pPr>
            <w:r>
              <w:rPr>
                <w:sz w:val="24"/>
              </w:rPr>
              <w:t>支持项目经费立项流程发起及审批归档；</w:t>
            </w:r>
          </w:p>
          <w:p>
            <w:pPr>
              <w:pStyle w:val="16"/>
              <w:numPr>
                <w:ilvl w:val="0"/>
                <w:numId w:val="11"/>
              </w:numPr>
              <w:ind w:firstLineChars="0"/>
              <w:rPr>
                <w:sz w:val="24"/>
              </w:rPr>
            </w:pPr>
            <w:r>
              <w:rPr>
                <w:sz w:val="24"/>
              </w:rPr>
              <w:t>各阶段审批流程自定义，数据统计分析报表。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12</w:t>
            </w:r>
          </w:p>
        </w:tc>
        <w:tc>
          <w:tcPr>
            <w:tcW w:w="2144"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知识产权</w:t>
            </w:r>
          </w:p>
          <w:p>
            <w:pPr>
              <w:jc w:val="center"/>
              <w:rPr>
                <w:rFonts w:hint="eastAsia" w:ascii="宋体" w:hAnsi="宋体" w:eastAsia="宋体" w:cs="宋体"/>
                <w:sz w:val="24"/>
                <w:szCs w:val="24"/>
              </w:rPr>
            </w:pPr>
            <w:r>
              <w:rPr>
                <w:rFonts w:hint="eastAsia" w:ascii="宋体" w:hAnsi="宋体" w:eastAsia="宋体" w:cs="宋体"/>
                <w:sz w:val="24"/>
                <w:szCs w:val="24"/>
              </w:rPr>
              <w:t>保障平台</w:t>
            </w:r>
          </w:p>
          <w:p>
            <w:pPr>
              <w:jc w:val="center"/>
              <w:rPr>
                <w:rFonts w:hint="eastAsia" w:ascii="宋体" w:hAnsi="宋体" w:eastAsia="宋体" w:cs="宋体"/>
                <w:sz w:val="24"/>
                <w:szCs w:val="24"/>
              </w:rPr>
            </w:pPr>
            <w:r>
              <w:rPr>
                <w:rFonts w:hint="eastAsia" w:ascii="宋体" w:hAnsi="宋体" w:eastAsia="宋体" w:cs="宋体"/>
                <w:sz w:val="24"/>
                <w:szCs w:val="24"/>
              </w:rPr>
              <w:t>（报表管理）</w:t>
            </w:r>
          </w:p>
        </w:tc>
        <w:tc>
          <w:tcPr>
            <w:tcW w:w="6611" w:type="dxa"/>
            <w:gridSpan w:val="5"/>
            <w:vAlign w:val="center"/>
          </w:tcPr>
          <w:p>
            <w:pPr>
              <w:pStyle w:val="16"/>
              <w:numPr>
                <w:ilvl w:val="0"/>
                <w:numId w:val="12"/>
              </w:numPr>
              <w:ind w:firstLineChars="0"/>
              <w:rPr>
                <w:sz w:val="24"/>
              </w:rPr>
            </w:pPr>
            <w:r>
              <w:rPr>
                <w:sz w:val="24"/>
              </w:rPr>
              <w:t>支持系统后台自动抓取部分日期作为数据检索以及导出的字段信息，例如提案日期、委案日期、代理所反馈初稿日期等；</w:t>
            </w:r>
          </w:p>
          <w:p>
            <w:pPr>
              <w:pStyle w:val="16"/>
              <w:numPr>
                <w:ilvl w:val="0"/>
                <w:numId w:val="12"/>
              </w:numPr>
              <w:ind w:firstLineChars="0"/>
              <w:rPr>
                <w:sz w:val="24"/>
              </w:rPr>
            </w:pPr>
            <w:r>
              <w:rPr>
                <w:sz w:val="24"/>
              </w:rPr>
              <w:t>支持维护的所有字段都能作为检索字段参与检索，支持检索式保存为模板；</w:t>
            </w:r>
          </w:p>
          <w:p>
            <w:pPr>
              <w:pStyle w:val="16"/>
              <w:numPr>
                <w:ilvl w:val="0"/>
                <w:numId w:val="12"/>
              </w:numPr>
              <w:ind w:firstLineChars="0"/>
              <w:rPr>
                <w:sz w:val="24"/>
              </w:rPr>
            </w:pPr>
            <w:r>
              <w:rPr>
                <w:sz w:val="24"/>
              </w:rPr>
              <w:t>自定义标签、自定义扩展的字段均可参与数据的统计检索；</w:t>
            </w:r>
          </w:p>
          <w:p>
            <w:pPr>
              <w:pStyle w:val="16"/>
              <w:numPr>
                <w:ilvl w:val="0"/>
                <w:numId w:val="12"/>
              </w:numPr>
              <w:ind w:firstLineChars="0"/>
              <w:rPr>
                <w:sz w:val="24"/>
              </w:rPr>
            </w:pPr>
            <w:r>
              <w:rPr>
                <w:sz w:val="24"/>
              </w:rPr>
              <w:t>基于系统数据，自动生成多类图文报表，无人工配置设置步骤，便于组织评估及分析；</w:t>
            </w:r>
          </w:p>
          <w:p>
            <w:pPr>
              <w:pStyle w:val="16"/>
              <w:numPr>
                <w:ilvl w:val="0"/>
                <w:numId w:val="12"/>
              </w:numPr>
              <w:ind w:firstLineChars="0"/>
              <w:rPr>
                <w:sz w:val="24"/>
              </w:rPr>
            </w:pPr>
            <w:r>
              <w:rPr>
                <w:sz w:val="24"/>
              </w:rPr>
              <w:t>定制报表，自定义报表条件及收件人等信息，自动推送邮件；</w:t>
            </w:r>
          </w:p>
          <w:p>
            <w:pPr>
              <w:pStyle w:val="16"/>
              <w:numPr>
                <w:ilvl w:val="0"/>
                <w:numId w:val="12"/>
              </w:numPr>
              <w:ind w:firstLineChars="0"/>
              <w:rPr>
                <w:sz w:val="24"/>
              </w:rPr>
            </w:pPr>
            <w:r>
              <w:rPr>
                <w:sz w:val="24"/>
              </w:rPr>
              <w:t>矩阵分析报表，根据产品、技术维度显示专利布局状况；</w:t>
            </w:r>
          </w:p>
          <w:p>
            <w:pPr>
              <w:pStyle w:val="16"/>
              <w:numPr>
                <w:ilvl w:val="0"/>
                <w:numId w:val="12"/>
              </w:numPr>
              <w:ind w:firstLineChars="0"/>
              <w:rPr>
                <w:sz w:val="24"/>
              </w:rPr>
            </w:pPr>
            <w:r>
              <w:rPr>
                <w:sz w:val="24"/>
              </w:rPr>
              <w:t>依角色设置登录后首页报表。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13</w:t>
            </w:r>
          </w:p>
        </w:tc>
        <w:tc>
          <w:tcPr>
            <w:tcW w:w="2144"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知识产权</w:t>
            </w:r>
          </w:p>
          <w:p>
            <w:pPr>
              <w:jc w:val="center"/>
              <w:rPr>
                <w:rFonts w:hint="eastAsia" w:ascii="宋体" w:hAnsi="宋体" w:eastAsia="宋体" w:cs="宋体"/>
                <w:sz w:val="24"/>
                <w:szCs w:val="24"/>
              </w:rPr>
            </w:pPr>
            <w:r>
              <w:rPr>
                <w:rFonts w:hint="eastAsia" w:ascii="宋体" w:hAnsi="宋体" w:eastAsia="宋体" w:cs="宋体"/>
                <w:sz w:val="24"/>
                <w:szCs w:val="24"/>
              </w:rPr>
              <w:t>保障平台</w:t>
            </w:r>
          </w:p>
          <w:p>
            <w:pPr>
              <w:jc w:val="center"/>
              <w:rPr>
                <w:rFonts w:hint="eastAsia" w:ascii="宋体" w:hAnsi="宋体" w:eastAsia="宋体" w:cs="宋体"/>
                <w:sz w:val="24"/>
                <w:szCs w:val="24"/>
              </w:rPr>
            </w:pPr>
            <w:r>
              <w:rPr>
                <w:rFonts w:hint="eastAsia" w:ascii="宋体" w:hAnsi="宋体" w:eastAsia="宋体" w:cs="宋体"/>
                <w:sz w:val="24"/>
                <w:szCs w:val="24"/>
              </w:rPr>
              <w:t>（文件管理）</w:t>
            </w:r>
          </w:p>
        </w:tc>
        <w:tc>
          <w:tcPr>
            <w:tcW w:w="6611" w:type="dxa"/>
            <w:gridSpan w:val="5"/>
            <w:vAlign w:val="center"/>
          </w:tcPr>
          <w:p>
            <w:pPr>
              <w:pStyle w:val="16"/>
              <w:numPr>
                <w:ilvl w:val="0"/>
                <w:numId w:val="13"/>
              </w:numPr>
              <w:ind w:firstLineChars="0"/>
              <w:rPr>
                <w:sz w:val="24"/>
              </w:rPr>
            </w:pPr>
            <w:r>
              <w:rPr>
                <w:sz w:val="24"/>
              </w:rPr>
              <w:t>单独的文件管理系统，支持文件上传，下载，文件同步等功能，可应用于其他系统中；</w:t>
            </w:r>
          </w:p>
          <w:p>
            <w:pPr>
              <w:pStyle w:val="16"/>
              <w:numPr>
                <w:ilvl w:val="0"/>
                <w:numId w:val="13"/>
              </w:numPr>
              <w:ind w:firstLineChars="0"/>
              <w:rPr>
                <w:sz w:val="24"/>
              </w:rPr>
            </w:pPr>
            <w:r>
              <w:rPr>
                <w:sz w:val="24"/>
              </w:rPr>
              <w:t>支持文件上传、下载后的文件名标准命名，尤其下载后的文件名，例如，下载时可选择下载后文件名命名为“管理编号+文件名”还是“申请号+文件名”，或是“证书号+文件名”等；</w:t>
            </w:r>
          </w:p>
          <w:p>
            <w:pPr>
              <w:pStyle w:val="16"/>
              <w:numPr>
                <w:ilvl w:val="0"/>
                <w:numId w:val="13"/>
              </w:numPr>
              <w:ind w:firstLineChars="0"/>
              <w:rPr>
                <w:sz w:val="24"/>
              </w:rPr>
            </w:pPr>
            <w:r>
              <w:rPr>
                <w:sz w:val="24"/>
              </w:rPr>
              <w:t>支持案件的批量检索，以及对应文件的批量下载（包含各阶段各类型官文及交底书文件），可批量检索批量下载；</w:t>
            </w:r>
          </w:p>
          <w:p>
            <w:pPr>
              <w:pStyle w:val="16"/>
              <w:numPr>
                <w:ilvl w:val="0"/>
                <w:numId w:val="13"/>
              </w:numPr>
              <w:ind w:firstLineChars="0"/>
              <w:rPr>
                <w:sz w:val="24"/>
              </w:rPr>
            </w:pPr>
            <w:r>
              <w:rPr>
                <w:sz w:val="24"/>
              </w:rPr>
              <w:t>批量接收并智能分析官方通知书文件，自动导入系统并自动依通知书规则智能处理，自动更新案件法律状态、新增事项、提取并更新通知书内容。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14</w:t>
            </w:r>
          </w:p>
        </w:tc>
        <w:tc>
          <w:tcPr>
            <w:tcW w:w="2144"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知识产权</w:t>
            </w:r>
          </w:p>
          <w:p>
            <w:pPr>
              <w:jc w:val="center"/>
              <w:rPr>
                <w:rFonts w:hint="eastAsia" w:ascii="宋体" w:hAnsi="宋体" w:eastAsia="宋体" w:cs="宋体"/>
                <w:sz w:val="24"/>
                <w:szCs w:val="24"/>
              </w:rPr>
            </w:pPr>
            <w:r>
              <w:rPr>
                <w:rFonts w:hint="eastAsia" w:ascii="宋体" w:hAnsi="宋体" w:eastAsia="宋体" w:cs="宋体"/>
                <w:sz w:val="24"/>
                <w:szCs w:val="24"/>
              </w:rPr>
              <w:t>保障平台</w:t>
            </w:r>
          </w:p>
          <w:p>
            <w:pPr>
              <w:jc w:val="center"/>
              <w:rPr>
                <w:rFonts w:hint="eastAsia" w:ascii="宋体" w:hAnsi="宋体" w:eastAsia="宋体" w:cs="宋体"/>
                <w:sz w:val="24"/>
                <w:szCs w:val="24"/>
              </w:rPr>
            </w:pPr>
            <w:r>
              <w:rPr>
                <w:rFonts w:hint="eastAsia" w:ascii="宋体" w:hAnsi="宋体" w:eastAsia="宋体" w:cs="宋体"/>
                <w:sz w:val="24"/>
                <w:szCs w:val="24"/>
              </w:rPr>
              <w:t>★（系统管理）</w:t>
            </w:r>
          </w:p>
        </w:tc>
        <w:tc>
          <w:tcPr>
            <w:tcW w:w="6611" w:type="dxa"/>
            <w:gridSpan w:val="5"/>
            <w:vAlign w:val="center"/>
          </w:tcPr>
          <w:p>
            <w:pPr>
              <w:pStyle w:val="16"/>
              <w:numPr>
                <w:ilvl w:val="0"/>
                <w:numId w:val="14"/>
              </w:numPr>
              <w:ind w:firstLineChars="0"/>
              <w:rPr>
                <w:sz w:val="24"/>
              </w:rPr>
            </w:pPr>
            <w:r>
              <w:rPr>
                <w:sz w:val="24"/>
              </w:rPr>
              <w:t>基本设置：组织管理、人员管理、流程配置及管理、角色定义及权限配置、联络人信息、申请人管理、评审会管理、代理机构管理；</w:t>
            </w:r>
          </w:p>
          <w:p>
            <w:pPr>
              <w:pStyle w:val="16"/>
              <w:numPr>
                <w:ilvl w:val="0"/>
                <w:numId w:val="14"/>
              </w:numPr>
              <w:ind w:firstLineChars="0"/>
              <w:rPr>
                <w:sz w:val="24"/>
              </w:rPr>
            </w:pPr>
            <w:r>
              <w:rPr>
                <w:sz w:val="24"/>
              </w:rPr>
              <w:t>规则模板：处理事项规则、通知书规则（支持根据通知书自定义设置处理事项新增、处理事项更新、案件信息更新、通知书信息更新、自动发起流程、自定义通知提醒邮件，且处理事项规则支持本案及家族案联动规则配置）、奖金资助规则、专利评估管理、系统通知、编号配置、服务运行；</w:t>
            </w:r>
          </w:p>
          <w:p>
            <w:pPr>
              <w:pStyle w:val="16"/>
              <w:numPr>
                <w:ilvl w:val="0"/>
                <w:numId w:val="14"/>
              </w:numPr>
              <w:ind w:firstLineChars="0"/>
              <w:rPr>
                <w:sz w:val="24"/>
              </w:rPr>
            </w:pPr>
            <w:r>
              <w:rPr>
                <w:sz w:val="24"/>
              </w:rPr>
              <w:t>技术产品：专利标签、产品分类、技术分类、项目管理、专利包；</w:t>
            </w:r>
          </w:p>
          <w:p>
            <w:pPr>
              <w:pStyle w:val="16"/>
              <w:numPr>
                <w:ilvl w:val="0"/>
                <w:numId w:val="14"/>
              </w:numPr>
              <w:ind w:firstLineChars="0"/>
              <w:rPr>
                <w:sz w:val="24"/>
              </w:rPr>
            </w:pPr>
            <w:r>
              <w:rPr>
                <w:sz w:val="24"/>
              </w:rPr>
              <w:t>后台管理：异常邮件、操作日志、邮件日志、登录日志、同步日志；</w:t>
            </w:r>
          </w:p>
          <w:p>
            <w:pPr>
              <w:pStyle w:val="16"/>
              <w:numPr>
                <w:ilvl w:val="0"/>
                <w:numId w:val="14"/>
              </w:numPr>
              <w:ind w:firstLineChars="0"/>
              <w:rPr>
                <w:sz w:val="24"/>
              </w:rPr>
            </w:pPr>
            <w:r>
              <w:rPr>
                <w:sz w:val="24"/>
              </w:rPr>
              <w:t>基础数据：各类基础数据维护；</w:t>
            </w:r>
          </w:p>
          <w:p>
            <w:pPr>
              <w:pStyle w:val="16"/>
              <w:numPr>
                <w:ilvl w:val="0"/>
                <w:numId w:val="14"/>
              </w:numPr>
              <w:ind w:firstLineChars="0"/>
              <w:rPr>
                <w:sz w:val="24"/>
              </w:rPr>
            </w:pPr>
            <w:r>
              <w:rPr>
                <w:sz w:val="24"/>
              </w:rPr>
              <w:t>任务管理：任务处理、任务调整、任务监控；</w:t>
            </w:r>
          </w:p>
          <w:p>
            <w:pPr>
              <w:pStyle w:val="16"/>
              <w:numPr>
                <w:ilvl w:val="0"/>
                <w:numId w:val="14"/>
              </w:numPr>
              <w:ind w:firstLineChars="0"/>
              <w:rPr>
                <w:sz w:val="24"/>
              </w:rPr>
            </w:pPr>
            <w:r>
              <w:rPr>
                <w:sz w:val="24"/>
              </w:rPr>
              <w:t>自定义：支持表单自定义，可操作性强。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8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2144"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知识产权</w:t>
            </w:r>
          </w:p>
          <w:p>
            <w:pPr>
              <w:jc w:val="center"/>
              <w:rPr>
                <w:rFonts w:hint="eastAsia" w:ascii="宋体" w:hAnsi="宋体" w:eastAsia="宋体" w:cs="宋体"/>
                <w:sz w:val="24"/>
                <w:szCs w:val="24"/>
              </w:rPr>
            </w:pPr>
            <w:r>
              <w:rPr>
                <w:rFonts w:hint="eastAsia" w:ascii="宋体" w:hAnsi="宋体" w:eastAsia="宋体" w:cs="宋体"/>
                <w:sz w:val="24"/>
                <w:szCs w:val="24"/>
              </w:rPr>
              <w:t>保障平台</w:t>
            </w:r>
          </w:p>
          <w:p>
            <w:pPr>
              <w:jc w:val="cente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（邮件管理）</w:t>
            </w:r>
          </w:p>
        </w:tc>
        <w:tc>
          <w:tcPr>
            <w:tcW w:w="6611" w:type="dxa"/>
            <w:gridSpan w:val="5"/>
            <w:vAlign w:val="center"/>
          </w:tcPr>
          <w:p>
            <w:pPr>
              <w:pStyle w:val="16"/>
              <w:numPr>
                <w:ilvl w:val="0"/>
                <w:numId w:val="15"/>
              </w:numPr>
              <w:ind w:firstLineChars="0"/>
              <w:rPr>
                <w:sz w:val="24"/>
              </w:rPr>
            </w:pPr>
            <w:r>
              <w:rPr>
                <w:sz w:val="24"/>
              </w:rPr>
              <w:t>对接邮箱系统，实现系统中收取和发送邮件，并自动与案件关联；</w:t>
            </w:r>
          </w:p>
          <w:p>
            <w:pPr>
              <w:pStyle w:val="16"/>
              <w:numPr>
                <w:ilvl w:val="0"/>
                <w:numId w:val="15"/>
              </w:numPr>
              <w:ind w:firstLineChars="0"/>
              <w:rPr>
                <w:sz w:val="24"/>
              </w:rPr>
            </w:pPr>
            <w:r>
              <w:rPr>
                <w:sz w:val="24"/>
              </w:rPr>
              <w:t>对邮件中附件能自动分析，根据文件类型自动生成任务、期限等内容，并自动导入案件；</w:t>
            </w:r>
          </w:p>
          <w:p>
            <w:pPr>
              <w:pStyle w:val="16"/>
              <w:numPr>
                <w:ilvl w:val="0"/>
                <w:numId w:val="15"/>
              </w:numPr>
              <w:ind w:firstLineChars="0"/>
              <w:rPr>
                <w:sz w:val="24"/>
              </w:rPr>
            </w:pPr>
            <w:r>
              <w:rPr>
                <w:sz w:val="24"/>
              </w:rPr>
              <w:t>可弹性配置邮件模板，自动生成邮件主题及正文内容；</w:t>
            </w:r>
          </w:p>
          <w:p>
            <w:pPr>
              <w:pStyle w:val="16"/>
              <w:numPr>
                <w:ilvl w:val="0"/>
                <w:numId w:val="15"/>
              </w:numPr>
              <w:ind w:firstLineChars="0"/>
              <w:rPr>
                <w:sz w:val="24"/>
              </w:rPr>
            </w:pPr>
            <w:r>
              <w:rPr>
                <w:sz w:val="24"/>
              </w:rPr>
              <w:t>弹性设置邮件标签，邮件导入后依据标签自动生成任务、期限、案件状态等。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8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16</w:t>
            </w:r>
          </w:p>
        </w:tc>
        <w:tc>
          <w:tcPr>
            <w:tcW w:w="2144"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★知识产权集成平台</w:t>
            </w:r>
          </w:p>
        </w:tc>
        <w:tc>
          <w:tcPr>
            <w:tcW w:w="6611" w:type="dxa"/>
            <w:gridSpan w:val="5"/>
            <w:vAlign w:val="center"/>
          </w:tcPr>
          <w:p>
            <w:pPr>
              <w:pStyle w:val="16"/>
              <w:numPr>
                <w:ilvl w:val="0"/>
                <w:numId w:val="16"/>
              </w:numPr>
              <w:ind w:firstLineChars="0"/>
              <w:rPr>
                <w:sz w:val="24"/>
              </w:rPr>
            </w:pPr>
            <w:r>
              <w:rPr>
                <w:sz w:val="24"/>
              </w:rPr>
              <w:t>校园门户平台集成，指定信息通过门户呈现；</w:t>
            </w:r>
          </w:p>
          <w:p>
            <w:pPr>
              <w:pStyle w:val="16"/>
              <w:numPr>
                <w:ilvl w:val="0"/>
                <w:numId w:val="16"/>
              </w:numPr>
              <w:ind w:firstLineChars="0"/>
              <w:rPr>
                <w:sz w:val="24"/>
              </w:rPr>
            </w:pPr>
            <w:r>
              <w:rPr>
                <w:sz w:val="24"/>
              </w:rPr>
              <w:t>人事系统和学生管理系统集成，支持人员组织信息同步及用户单点登录；</w:t>
            </w:r>
          </w:p>
          <w:p>
            <w:pPr>
              <w:pStyle w:val="16"/>
              <w:numPr>
                <w:ilvl w:val="0"/>
                <w:numId w:val="16"/>
              </w:numPr>
              <w:ind w:firstLineChars="0"/>
              <w:rPr>
                <w:sz w:val="24"/>
              </w:rPr>
            </w:pPr>
            <w:r>
              <w:rPr>
                <w:sz w:val="24"/>
              </w:rPr>
              <w:t>项目管理系统集成，自动更新项目信息；</w:t>
            </w:r>
          </w:p>
          <w:p>
            <w:pPr>
              <w:pStyle w:val="16"/>
              <w:numPr>
                <w:ilvl w:val="0"/>
                <w:numId w:val="16"/>
              </w:numPr>
              <w:ind w:firstLineChars="0"/>
              <w:rPr>
                <w:sz w:val="24"/>
              </w:rPr>
            </w:pPr>
            <w:r>
              <w:rPr>
                <w:sz w:val="24"/>
              </w:rPr>
              <w:t>资产管理系统集成；</w:t>
            </w:r>
          </w:p>
          <w:p>
            <w:pPr>
              <w:pStyle w:val="16"/>
              <w:numPr>
                <w:ilvl w:val="0"/>
                <w:numId w:val="16"/>
              </w:numPr>
              <w:ind w:firstLineChars="0"/>
              <w:rPr>
                <w:sz w:val="24"/>
              </w:rPr>
            </w:pPr>
            <w:r>
              <w:rPr>
                <w:sz w:val="24"/>
              </w:rPr>
              <w:t>支持移动端审批，如提案流程可在移动端进行审批等。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646" w:type="dxa"/>
            <w:gridSpan w:val="8"/>
            <w:vAlign w:val="center"/>
          </w:tcPr>
          <w:p>
            <w:pPr>
              <w:jc w:val="center"/>
              <w:rPr>
                <w:rFonts w:eastAsia="仿宋_GB2312"/>
                <w:b/>
                <w:sz w:val="28"/>
              </w:rPr>
            </w:pPr>
            <w:r>
              <w:rPr>
                <w:rFonts w:eastAsia="仿宋_GB2312"/>
                <w:b/>
                <w:sz w:val="28"/>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91" w:type="dxa"/>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2144" w:type="dxa"/>
            <w:gridSpan w:val="2"/>
            <w:vAlign w:val="center"/>
          </w:tcPr>
          <w:p>
            <w:pPr>
              <w:jc w:val="center"/>
              <w:rPr>
                <w:rFonts w:hint="eastAsia" w:ascii="宋体" w:hAnsi="宋体" w:eastAsia="宋体" w:cs="宋体"/>
                <w:sz w:val="24"/>
              </w:rPr>
            </w:pPr>
            <w:r>
              <w:rPr>
                <w:rFonts w:hint="eastAsia" w:ascii="宋体" w:hAnsi="宋体" w:eastAsia="宋体" w:cs="宋体"/>
                <w:sz w:val="24"/>
              </w:rPr>
              <w:t>质保期</w:t>
            </w:r>
          </w:p>
        </w:tc>
        <w:tc>
          <w:tcPr>
            <w:tcW w:w="6611" w:type="dxa"/>
            <w:gridSpan w:val="5"/>
            <w:vAlign w:val="center"/>
          </w:tcPr>
          <w:p>
            <w:pPr>
              <w:rPr>
                <w:rFonts w:hint="eastAsia" w:ascii="宋体" w:hAnsi="宋体" w:eastAsia="宋体" w:cs="宋体"/>
                <w:sz w:val="24"/>
              </w:rPr>
            </w:pPr>
            <w:r>
              <w:rPr>
                <w:rFonts w:hint="eastAsia" w:ascii="宋体" w:hAnsi="宋体" w:eastAsia="宋体" w:cs="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91" w:type="dxa"/>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2144" w:type="dxa"/>
            <w:gridSpan w:val="2"/>
            <w:vAlign w:val="center"/>
          </w:tcPr>
          <w:p>
            <w:pPr>
              <w:jc w:val="center"/>
              <w:rPr>
                <w:rFonts w:hint="eastAsia" w:ascii="宋体" w:hAnsi="宋体" w:eastAsia="宋体" w:cs="宋体"/>
                <w:sz w:val="24"/>
              </w:rPr>
            </w:pPr>
            <w:r>
              <w:rPr>
                <w:rFonts w:hint="eastAsia" w:ascii="宋体" w:hAnsi="宋体" w:eastAsia="宋体" w:cs="宋体"/>
                <w:sz w:val="24"/>
              </w:rPr>
              <w:t>售后服务标准</w:t>
            </w:r>
          </w:p>
        </w:tc>
        <w:tc>
          <w:tcPr>
            <w:tcW w:w="6611" w:type="dxa"/>
            <w:gridSpan w:val="5"/>
            <w:vAlign w:val="center"/>
          </w:tcPr>
          <w:p>
            <w:pPr>
              <w:rPr>
                <w:rFonts w:hint="eastAsia" w:ascii="宋体" w:hAnsi="宋体" w:eastAsia="宋体" w:cs="宋体"/>
                <w:sz w:val="24"/>
              </w:rPr>
            </w:pPr>
            <w:r>
              <w:rPr>
                <w:rFonts w:hint="eastAsia" w:ascii="宋体" w:hAnsi="宋体" w:eastAsia="宋体" w:cs="宋体"/>
                <w:sz w:val="24"/>
              </w:rPr>
              <w:t>质保期内免费；质保期外按项目金额8%收取年度售后服务年费。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91" w:type="dxa"/>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2144" w:type="dxa"/>
            <w:gridSpan w:val="2"/>
            <w:vAlign w:val="center"/>
          </w:tcPr>
          <w:p>
            <w:pPr>
              <w:jc w:val="center"/>
              <w:rPr>
                <w:rFonts w:hint="eastAsia" w:ascii="宋体" w:hAnsi="宋体" w:eastAsia="宋体" w:cs="宋体"/>
                <w:sz w:val="24"/>
              </w:rPr>
            </w:pPr>
            <w:r>
              <w:rPr>
                <w:rFonts w:hint="eastAsia" w:ascii="宋体" w:hAnsi="宋体" w:eastAsia="宋体" w:cs="宋体"/>
                <w:sz w:val="24"/>
              </w:rPr>
              <w:t>培训支持</w:t>
            </w:r>
          </w:p>
        </w:tc>
        <w:tc>
          <w:tcPr>
            <w:tcW w:w="6611" w:type="dxa"/>
            <w:gridSpan w:val="5"/>
            <w:vAlign w:val="center"/>
          </w:tcPr>
          <w:p>
            <w:pPr>
              <w:rPr>
                <w:rFonts w:hint="eastAsia" w:ascii="宋体" w:hAnsi="宋体" w:eastAsia="宋体" w:cs="宋体"/>
                <w:sz w:val="24"/>
              </w:rPr>
            </w:pPr>
            <w:r>
              <w:rPr>
                <w:rFonts w:hint="eastAsia" w:ascii="宋体" w:hAnsi="宋体" w:eastAsia="宋体" w:cs="宋体"/>
                <w:sz w:val="24"/>
              </w:rPr>
              <w:t>提供现场培训，不限次数。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91" w:type="dxa"/>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2144" w:type="dxa"/>
            <w:gridSpan w:val="2"/>
            <w:vAlign w:val="center"/>
          </w:tcPr>
          <w:p>
            <w:pPr>
              <w:jc w:val="center"/>
              <w:rPr>
                <w:rFonts w:hint="eastAsia" w:ascii="宋体" w:hAnsi="宋体" w:eastAsia="宋体" w:cs="宋体"/>
                <w:sz w:val="24"/>
              </w:rPr>
            </w:pPr>
            <w:r>
              <w:rPr>
                <w:rFonts w:hint="eastAsia" w:ascii="宋体" w:hAnsi="宋体" w:eastAsia="宋体" w:cs="宋体"/>
                <w:sz w:val="24"/>
              </w:rPr>
              <w:t>售后服务响应</w:t>
            </w:r>
          </w:p>
        </w:tc>
        <w:tc>
          <w:tcPr>
            <w:tcW w:w="6611" w:type="dxa"/>
            <w:gridSpan w:val="5"/>
            <w:vAlign w:val="center"/>
          </w:tcPr>
          <w:p>
            <w:pPr>
              <w:rPr>
                <w:rFonts w:hint="eastAsia" w:ascii="宋体" w:hAnsi="宋体" w:eastAsia="宋体" w:cs="宋体"/>
                <w:sz w:val="24"/>
              </w:rPr>
            </w:pPr>
            <w:r>
              <w:rPr>
                <w:rFonts w:hint="eastAsia" w:ascii="宋体" w:hAnsi="宋体" w:eastAsia="宋体" w:cs="宋体"/>
                <w:sz w:val="24"/>
              </w:rPr>
              <w:t>2小时内响应，12小时内到达现场。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91" w:type="dxa"/>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2144" w:type="dxa"/>
            <w:gridSpan w:val="2"/>
            <w:vAlign w:val="center"/>
          </w:tcPr>
          <w:p>
            <w:pPr>
              <w:jc w:val="center"/>
              <w:rPr>
                <w:rFonts w:hint="eastAsia" w:ascii="宋体" w:hAnsi="宋体" w:eastAsia="宋体" w:cs="宋体"/>
                <w:sz w:val="24"/>
              </w:rPr>
            </w:pPr>
            <w:r>
              <w:rPr>
                <w:rFonts w:hint="eastAsia" w:ascii="宋体" w:hAnsi="宋体" w:eastAsia="宋体" w:cs="宋体"/>
                <w:sz w:val="24"/>
              </w:rPr>
              <w:t>到货时间</w:t>
            </w:r>
          </w:p>
        </w:tc>
        <w:tc>
          <w:tcPr>
            <w:tcW w:w="6611" w:type="dxa"/>
            <w:gridSpan w:val="5"/>
            <w:vAlign w:val="center"/>
          </w:tcPr>
          <w:p>
            <w:pPr>
              <w:rPr>
                <w:rFonts w:hint="eastAsia" w:ascii="宋体" w:hAnsi="宋体" w:eastAsia="宋体" w:cs="宋体"/>
                <w:sz w:val="24"/>
              </w:rPr>
            </w:pPr>
            <w:r>
              <w:rPr>
                <w:rFonts w:hint="eastAsia" w:ascii="宋体" w:hAnsi="宋体" w:eastAsia="宋体" w:cs="宋体"/>
                <w:sz w:val="24"/>
              </w:rPr>
              <w:t>签订正式合同软硬件配备完成后一个月之内。</w:t>
            </w:r>
          </w:p>
        </w:tc>
      </w:tr>
    </w:tbl>
    <w:p>
      <w:pPr>
        <w:spacing w:line="320" w:lineRule="exact"/>
        <w:ind w:left="720" w:hanging="720" w:hangingChars="300"/>
        <w:rPr>
          <w:rFonts w:hint="eastAsia" w:ascii="宋体" w:hAnsi="宋体" w:eastAsia="宋体" w:cs="宋体"/>
          <w:sz w:val="24"/>
        </w:rPr>
      </w:pPr>
      <w:r>
        <w:rPr>
          <w:rFonts w:hint="eastAsia" w:ascii="宋体" w:hAnsi="宋体" w:eastAsia="宋体" w:cs="宋体"/>
          <w:sz w:val="24"/>
        </w:rPr>
        <w:t>说明: 功能要求、配置清单为必备要求，从功能角度提出；技术参数应体现设备档次要求，参数中区分“</w:t>
      </w:r>
      <w:bookmarkStart w:id="0" w:name="OLE_LINK3"/>
      <w:bookmarkStart w:id="1" w:name="OLE_LINK1"/>
      <w:r>
        <w:rPr>
          <w:rFonts w:hint="eastAsia" w:ascii="宋体" w:hAnsi="宋体" w:eastAsia="宋体" w:cs="宋体"/>
          <w:sz w:val="24"/>
        </w:rPr>
        <w:t>★</w:t>
      </w:r>
      <w:bookmarkEnd w:id="0"/>
      <w:bookmarkEnd w:id="1"/>
      <w:r>
        <w:rPr>
          <w:rFonts w:hint="eastAsia" w:ascii="宋体" w:hAnsi="宋体" w:eastAsia="宋体" w:cs="宋体"/>
          <w:sz w:val="24"/>
        </w:rPr>
        <w:t>”、“</w:t>
      </w:r>
      <w:bookmarkStart w:id="2" w:name="OLE_LINK5"/>
      <w:bookmarkStart w:id="3" w:name="OLE_LINK4"/>
      <w:r>
        <w:rPr>
          <w:rFonts w:hint="eastAsia" w:ascii="宋体" w:hAnsi="宋体" w:eastAsia="宋体" w:cs="宋体"/>
          <w:b/>
          <w:sz w:val="24"/>
        </w:rPr>
        <w:t>＃</w:t>
      </w:r>
      <w:bookmarkEnd w:id="2"/>
      <w:bookmarkEnd w:id="3"/>
      <w:r>
        <w:rPr>
          <w:rFonts w:hint="eastAsia" w:ascii="宋体" w:hAnsi="宋体" w:eastAsia="宋体" w:cs="宋体"/>
          <w:sz w:val="24"/>
        </w:rPr>
        <w:t>”参数，其中“★”参数为核心参数，为必须满足参数；“</w:t>
      </w:r>
      <w:bookmarkStart w:id="4" w:name="OLE_LINK2"/>
      <w:r>
        <w:rPr>
          <w:rFonts w:hint="eastAsia" w:ascii="宋体" w:hAnsi="宋体" w:eastAsia="宋体" w:cs="宋体"/>
          <w:b/>
          <w:sz w:val="24"/>
        </w:rPr>
        <w:t>＃</w:t>
      </w:r>
      <w:bookmarkEnd w:id="4"/>
      <w:r>
        <w:rPr>
          <w:rFonts w:hint="eastAsia" w:ascii="宋体" w:hAnsi="宋体" w:eastAsia="宋体" w:cs="宋体"/>
          <w:sz w:val="24"/>
        </w:rPr>
        <w:t>”参数为重要参数，在采购评审中分值较高。售后服务要求尽量填写，没有要求的可不填。</w:t>
      </w:r>
    </w:p>
    <w:sectPr>
      <w:pgSz w:w="11907" w:h="16840"/>
      <w:pgMar w:top="1134" w:right="1474" w:bottom="1021"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1488A"/>
    <w:multiLevelType w:val="multilevel"/>
    <w:tmpl w:val="05D148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716B79"/>
    <w:multiLevelType w:val="multilevel"/>
    <w:tmpl w:val="0D716B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5033FE"/>
    <w:multiLevelType w:val="multilevel"/>
    <w:tmpl w:val="125033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6F85910"/>
    <w:multiLevelType w:val="multilevel"/>
    <w:tmpl w:val="16F859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4EC1BC8"/>
    <w:multiLevelType w:val="multilevel"/>
    <w:tmpl w:val="24EC1B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91A782F"/>
    <w:multiLevelType w:val="multilevel"/>
    <w:tmpl w:val="291A78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7A333A"/>
    <w:multiLevelType w:val="multilevel"/>
    <w:tmpl w:val="2B7A33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E565171"/>
    <w:multiLevelType w:val="multilevel"/>
    <w:tmpl w:val="2E5651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1AC15E8"/>
    <w:multiLevelType w:val="multilevel"/>
    <w:tmpl w:val="41AC15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5924780"/>
    <w:multiLevelType w:val="multilevel"/>
    <w:tmpl w:val="459247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0D84750"/>
    <w:multiLevelType w:val="multilevel"/>
    <w:tmpl w:val="50D8475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1130002"/>
    <w:multiLevelType w:val="multilevel"/>
    <w:tmpl w:val="5113000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3F534EC"/>
    <w:multiLevelType w:val="multilevel"/>
    <w:tmpl w:val="53F534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9A2CF3"/>
    <w:multiLevelType w:val="multilevel"/>
    <w:tmpl w:val="599A2C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8037B77"/>
    <w:multiLevelType w:val="multilevel"/>
    <w:tmpl w:val="68037B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F78652D"/>
    <w:multiLevelType w:val="multilevel"/>
    <w:tmpl w:val="7F7865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10"/>
  </w:num>
  <w:num w:numId="3">
    <w:abstractNumId w:val="8"/>
  </w:num>
  <w:num w:numId="4">
    <w:abstractNumId w:val="5"/>
  </w:num>
  <w:num w:numId="5">
    <w:abstractNumId w:val="15"/>
  </w:num>
  <w:num w:numId="6">
    <w:abstractNumId w:val="9"/>
  </w:num>
  <w:num w:numId="7">
    <w:abstractNumId w:val="13"/>
  </w:num>
  <w:num w:numId="8">
    <w:abstractNumId w:val="12"/>
  </w:num>
  <w:num w:numId="9">
    <w:abstractNumId w:val="2"/>
  </w:num>
  <w:num w:numId="10">
    <w:abstractNumId w:val="11"/>
  </w:num>
  <w:num w:numId="11">
    <w:abstractNumId w:val="4"/>
  </w:num>
  <w:num w:numId="12">
    <w:abstractNumId w:val="7"/>
  </w:num>
  <w:num w:numId="13">
    <w:abstractNumId w:val="0"/>
  </w:num>
  <w:num w:numId="14">
    <w:abstractNumId w:val="6"/>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055"/>
    <w:rsid w:val="00001091"/>
    <w:rsid w:val="00004BB8"/>
    <w:rsid w:val="000100C9"/>
    <w:rsid w:val="00012706"/>
    <w:rsid w:val="000175C4"/>
    <w:rsid w:val="00031EBE"/>
    <w:rsid w:val="00041BFB"/>
    <w:rsid w:val="000440C3"/>
    <w:rsid w:val="00050193"/>
    <w:rsid w:val="000512EA"/>
    <w:rsid w:val="00057C67"/>
    <w:rsid w:val="00062CD9"/>
    <w:rsid w:val="00065BC5"/>
    <w:rsid w:val="000727AD"/>
    <w:rsid w:val="000B34EF"/>
    <w:rsid w:val="000B7780"/>
    <w:rsid w:val="000C10AB"/>
    <w:rsid w:val="000E1675"/>
    <w:rsid w:val="000E24EC"/>
    <w:rsid w:val="000F52C4"/>
    <w:rsid w:val="0010069F"/>
    <w:rsid w:val="001104D8"/>
    <w:rsid w:val="001111B1"/>
    <w:rsid w:val="00116394"/>
    <w:rsid w:val="001204D8"/>
    <w:rsid w:val="00124E98"/>
    <w:rsid w:val="00125374"/>
    <w:rsid w:val="0013305D"/>
    <w:rsid w:val="00137CE0"/>
    <w:rsid w:val="00147E1D"/>
    <w:rsid w:val="00162A74"/>
    <w:rsid w:val="00162E1A"/>
    <w:rsid w:val="00163C37"/>
    <w:rsid w:val="001723C0"/>
    <w:rsid w:val="001735EA"/>
    <w:rsid w:val="00176AA4"/>
    <w:rsid w:val="00177DD0"/>
    <w:rsid w:val="00186BC5"/>
    <w:rsid w:val="0019329A"/>
    <w:rsid w:val="00195DA1"/>
    <w:rsid w:val="001A2DEA"/>
    <w:rsid w:val="001A3055"/>
    <w:rsid w:val="001A7D02"/>
    <w:rsid w:val="001B2FD2"/>
    <w:rsid w:val="001B58F6"/>
    <w:rsid w:val="001B6067"/>
    <w:rsid w:val="001C3952"/>
    <w:rsid w:val="001D0405"/>
    <w:rsid w:val="001D0593"/>
    <w:rsid w:val="001E054E"/>
    <w:rsid w:val="001E0B20"/>
    <w:rsid w:val="001E1E9A"/>
    <w:rsid w:val="0020211C"/>
    <w:rsid w:val="002022DE"/>
    <w:rsid w:val="002029B1"/>
    <w:rsid w:val="00207259"/>
    <w:rsid w:val="00210AFB"/>
    <w:rsid w:val="00227B07"/>
    <w:rsid w:val="00227D41"/>
    <w:rsid w:val="0023434A"/>
    <w:rsid w:val="00234692"/>
    <w:rsid w:val="0023700D"/>
    <w:rsid w:val="002469EB"/>
    <w:rsid w:val="002476A6"/>
    <w:rsid w:val="00250716"/>
    <w:rsid w:val="002570B1"/>
    <w:rsid w:val="00271D2E"/>
    <w:rsid w:val="00272EBA"/>
    <w:rsid w:val="00274EF4"/>
    <w:rsid w:val="00283960"/>
    <w:rsid w:val="0029501D"/>
    <w:rsid w:val="0029586F"/>
    <w:rsid w:val="002C5333"/>
    <w:rsid w:val="002C653E"/>
    <w:rsid w:val="002D6226"/>
    <w:rsid w:val="002E102A"/>
    <w:rsid w:val="002E17D3"/>
    <w:rsid w:val="002E1C11"/>
    <w:rsid w:val="002E6020"/>
    <w:rsid w:val="002F0FE8"/>
    <w:rsid w:val="002F7BF8"/>
    <w:rsid w:val="00316790"/>
    <w:rsid w:val="00330438"/>
    <w:rsid w:val="00331DAB"/>
    <w:rsid w:val="00334D19"/>
    <w:rsid w:val="00336D9E"/>
    <w:rsid w:val="00344BD1"/>
    <w:rsid w:val="00346A55"/>
    <w:rsid w:val="0035047F"/>
    <w:rsid w:val="00350C42"/>
    <w:rsid w:val="00361901"/>
    <w:rsid w:val="0037057C"/>
    <w:rsid w:val="00387B34"/>
    <w:rsid w:val="00387D6C"/>
    <w:rsid w:val="003A0991"/>
    <w:rsid w:val="003A13EA"/>
    <w:rsid w:val="003A1CA3"/>
    <w:rsid w:val="003A2C3A"/>
    <w:rsid w:val="003A5A56"/>
    <w:rsid w:val="003A6438"/>
    <w:rsid w:val="003B04A5"/>
    <w:rsid w:val="003B05A6"/>
    <w:rsid w:val="003B6D20"/>
    <w:rsid w:val="003B74FB"/>
    <w:rsid w:val="003C20C9"/>
    <w:rsid w:val="003C2610"/>
    <w:rsid w:val="003D0426"/>
    <w:rsid w:val="003E1BB2"/>
    <w:rsid w:val="003F273D"/>
    <w:rsid w:val="003F7312"/>
    <w:rsid w:val="00403DB8"/>
    <w:rsid w:val="00404FD6"/>
    <w:rsid w:val="0041080B"/>
    <w:rsid w:val="00412701"/>
    <w:rsid w:val="00412F82"/>
    <w:rsid w:val="004156BE"/>
    <w:rsid w:val="00423AA2"/>
    <w:rsid w:val="00432002"/>
    <w:rsid w:val="00442605"/>
    <w:rsid w:val="00443490"/>
    <w:rsid w:val="00444D83"/>
    <w:rsid w:val="00450345"/>
    <w:rsid w:val="00456AEA"/>
    <w:rsid w:val="00460A25"/>
    <w:rsid w:val="00460D3B"/>
    <w:rsid w:val="00460F67"/>
    <w:rsid w:val="0046128A"/>
    <w:rsid w:val="004628BA"/>
    <w:rsid w:val="004661B7"/>
    <w:rsid w:val="00466289"/>
    <w:rsid w:val="004713AE"/>
    <w:rsid w:val="004771CB"/>
    <w:rsid w:val="0047749F"/>
    <w:rsid w:val="00480104"/>
    <w:rsid w:val="00490440"/>
    <w:rsid w:val="004A2B63"/>
    <w:rsid w:val="004B464D"/>
    <w:rsid w:val="004B74CB"/>
    <w:rsid w:val="004B75DA"/>
    <w:rsid w:val="004C43AD"/>
    <w:rsid w:val="004C6A80"/>
    <w:rsid w:val="004D5D97"/>
    <w:rsid w:val="004E315C"/>
    <w:rsid w:val="004E55C8"/>
    <w:rsid w:val="004F6390"/>
    <w:rsid w:val="004F6612"/>
    <w:rsid w:val="00500283"/>
    <w:rsid w:val="005009B4"/>
    <w:rsid w:val="00500C2A"/>
    <w:rsid w:val="005064A1"/>
    <w:rsid w:val="00512A42"/>
    <w:rsid w:val="00516D6F"/>
    <w:rsid w:val="00520F58"/>
    <w:rsid w:val="00526D77"/>
    <w:rsid w:val="00526F29"/>
    <w:rsid w:val="00533133"/>
    <w:rsid w:val="00534E2E"/>
    <w:rsid w:val="0054535E"/>
    <w:rsid w:val="00546285"/>
    <w:rsid w:val="0054676C"/>
    <w:rsid w:val="005508C2"/>
    <w:rsid w:val="00556091"/>
    <w:rsid w:val="00562965"/>
    <w:rsid w:val="005640FF"/>
    <w:rsid w:val="00566D97"/>
    <w:rsid w:val="0056775F"/>
    <w:rsid w:val="00567925"/>
    <w:rsid w:val="005809C6"/>
    <w:rsid w:val="005819A2"/>
    <w:rsid w:val="00585289"/>
    <w:rsid w:val="00586AD3"/>
    <w:rsid w:val="005878A1"/>
    <w:rsid w:val="00590FA2"/>
    <w:rsid w:val="0059461E"/>
    <w:rsid w:val="005A0CFB"/>
    <w:rsid w:val="005A5547"/>
    <w:rsid w:val="005C239B"/>
    <w:rsid w:val="005C3967"/>
    <w:rsid w:val="005C51F0"/>
    <w:rsid w:val="005D0381"/>
    <w:rsid w:val="005D1C4C"/>
    <w:rsid w:val="005E4192"/>
    <w:rsid w:val="00600B66"/>
    <w:rsid w:val="006112ED"/>
    <w:rsid w:val="00611F93"/>
    <w:rsid w:val="0061493E"/>
    <w:rsid w:val="006151EF"/>
    <w:rsid w:val="0062756D"/>
    <w:rsid w:val="006318DA"/>
    <w:rsid w:val="00634CA9"/>
    <w:rsid w:val="00635942"/>
    <w:rsid w:val="0064010E"/>
    <w:rsid w:val="0064614C"/>
    <w:rsid w:val="00650FB3"/>
    <w:rsid w:val="0065324C"/>
    <w:rsid w:val="00653E67"/>
    <w:rsid w:val="006621A6"/>
    <w:rsid w:val="00673C35"/>
    <w:rsid w:val="00675216"/>
    <w:rsid w:val="0067600A"/>
    <w:rsid w:val="0068239A"/>
    <w:rsid w:val="0068772C"/>
    <w:rsid w:val="00690361"/>
    <w:rsid w:val="006A2D7D"/>
    <w:rsid w:val="006A5217"/>
    <w:rsid w:val="006B4B95"/>
    <w:rsid w:val="006C7168"/>
    <w:rsid w:val="006D148B"/>
    <w:rsid w:val="006D448F"/>
    <w:rsid w:val="006F4BD1"/>
    <w:rsid w:val="007056A9"/>
    <w:rsid w:val="007064B9"/>
    <w:rsid w:val="0071156C"/>
    <w:rsid w:val="00713061"/>
    <w:rsid w:val="007143ED"/>
    <w:rsid w:val="00716D49"/>
    <w:rsid w:val="00722A85"/>
    <w:rsid w:val="00731907"/>
    <w:rsid w:val="00742A08"/>
    <w:rsid w:val="00746890"/>
    <w:rsid w:val="00746CEA"/>
    <w:rsid w:val="00762CB0"/>
    <w:rsid w:val="007663C7"/>
    <w:rsid w:val="00771397"/>
    <w:rsid w:val="00774C0F"/>
    <w:rsid w:val="0077613D"/>
    <w:rsid w:val="0077782F"/>
    <w:rsid w:val="00786034"/>
    <w:rsid w:val="00792E4A"/>
    <w:rsid w:val="007A3D6E"/>
    <w:rsid w:val="007B54A0"/>
    <w:rsid w:val="007C1F31"/>
    <w:rsid w:val="007C6310"/>
    <w:rsid w:val="007D27B7"/>
    <w:rsid w:val="007D4199"/>
    <w:rsid w:val="007D4302"/>
    <w:rsid w:val="007D46B6"/>
    <w:rsid w:val="007D7ECD"/>
    <w:rsid w:val="007E2627"/>
    <w:rsid w:val="007E4437"/>
    <w:rsid w:val="00803D7C"/>
    <w:rsid w:val="00813FA2"/>
    <w:rsid w:val="0081735A"/>
    <w:rsid w:val="0082651D"/>
    <w:rsid w:val="00827C1D"/>
    <w:rsid w:val="008544BB"/>
    <w:rsid w:val="008654BC"/>
    <w:rsid w:val="00875C08"/>
    <w:rsid w:val="008767F7"/>
    <w:rsid w:val="0088605B"/>
    <w:rsid w:val="008867FF"/>
    <w:rsid w:val="00896B70"/>
    <w:rsid w:val="008A5602"/>
    <w:rsid w:val="008B1F7C"/>
    <w:rsid w:val="008B223E"/>
    <w:rsid w:val="008C2202"/>
    <w:rsid w:val="008C4B84"/>
    <w:rsid w:val="008D0B78"/>
    <w:rsid w:val="008D4614"/>
    <w:rsid w:val="008D4C79"/>
    <w:rsid w:val="008D746B"/>
    <w:rsid w:val="008E1222"/>
    <w:rsid w:val="008E1A2C"/>
    <w:rsid w:val="008E32B9"/>
    <w:rsid w:val="008E7DB6"/>
    <w:rsid w:val="008F0436"/>
    <w:rsid w:val="0091257F"/>
    <w:rsid w:val="00912711"/>
    <w:rsid w:val="009129DB"/>
    <w:rsid w:val="00916EA6"/>
    <w:rsid w:val="00917F3A"/>
    <w:rsid w:val="00932740"/>
    <w:rsid w:val="00941ED4"/>
    <w:rsid w:val="00944349"/>
    <w:rsid w:val="009560B5"/>
    <w:rsid w:val="00980D02"/>
    <w:rsid w:val="00981AD0"/>
    <w:rsid w:val="00985AAA"/>
    <w:rsid w:val="00997373"/>
    <w:rsid w:val="009A006D"/>
    <w:rsid w:val="009A17DB"/>
    <w:rsid w:val="009A1C70"/>
    <w:rsid w:val="009A234C"/>
    <w:rsid w:val="009A2A67"/>
    <w:rsid w:val="009B1098"/>
    <w:rsid w:val="009B2C56"/>
    <w:rsid w:val="009C1C09"/>
    <w:rsid w:val="009C3815"/>
    <w:rsid w:val="009D685E"/>
    <w:rsid w:val="009D74F3"/>
    <w:rsid w:val="009E4CBE"/>
    <w:rsid w:val="009E7914"/>
    <w:rsid w:val="00A03F29"/>
    <w:rsid w:val="00A05764"/>
    <w:rsid w:val="00A07033"/>
    <w:rsid w:val="00A07859"/>
    <w:rsid w:val="00A11FE2"/>
    <w:rsid w:val="00A16578"/>
    <w:rsid w:val="00A31747"/>
    <w:rsid w:val="00A53581"/>
    <w:rsid w:val="00A65294"/>
    <w:rsid w:val="00A76D51"/>
    <w:rsid w:val="00A979C3"/>
    <w:rsid w:val="00AA4107"/>
    <w:rsid w:val="00AB1F64"/>
    <w:rsid w:val="00AB2E7B"/>
    <w:rsid w:val="00AC5B37"/>
    <w:rsid w:val="00AC72EA"/>
    <w:rsid w:val="00AD450D"/>
    <w:rsid w:val="00AD7FF7"/>
    <w:rsid w:val="00AF0A74"/>
    <w:rsid w:val="00AF383B"/>
    <w:rsid w:val="00AF4F8C"/>
    <w:rsid w:val="00B00020"/>
    <w:rsid w:val="00B0381B"/>
    <w:rsid w:val="00B03DF2"/>
    <w:rsid w:val="00B04167"/>
    <w:rsid w:val="00B15F19"/>
    <w:rsid w:val="00B1615B"/>
    <w:rsid w:val="00B21308"/>
    <w:rsid w:val="00B23E98"/>
    <w:rsid w:val="00B25752"/>
    <w:rsid w:val="00B27F94"/>
    <w:rsid w:val="00B3035E"/>
    <w:rsid w:val="00B42513"/>
    <w:rsid w:val="00B44136"/>
    <w:rsid w:val="00B474B8"/>
    <w:rsid w:val="00B504B5"/>
    <w:rsid w:val="00B50C9A"/>
    <w:rsid w:val="00B6492F"/>
    <w:rsid w:val="00B67CDD"/>
    <w:rsid w:val="00B719EC"/>
    <w:rsid w:val="00B73A0C"/>
    <w:rsid w:val="00BA612C"/>
    <w:rsid w:val="00BB2099"/>
    <w:rsid w:val="00BB3094"/>
    <w:rsid w:val="00BB3F33"/>
    <w:rsid w:val="00BC0B5F"/>
    <w:rsid w:val="00BC7F1B"/>
    <w:rsid w:val="00BE1759"/>
    <w:rsid w:val="00BE299E"/>
    <w:rsid w:val="00C0390C"/>
    <w:rsid w:val="00C109EB"/>
    <w:rsid w:val="00C17C28"/>
    <w:rsid w:val="00C31AF0"/>
    <w:rsid w:val="00C35310"/>
    <w:rsid w:val="00C362B8"/>
    <w:rsid w:val="00C44452"/>
    <w:rsid w:val="00C46EA8"/>
    <w:rsid w:val="00C643F1"/>
    <w:rsid w:val="00C65C0D"/>
    <w:rsid w:val="00C6606D"/>
    <w:rsid w:val="00C70088"/>
    <w:rsid w:val="00C8255E"/>
    <w:rsid w:val="00C82731"/>
    <w:rsid w:val="00C94F78"/>
    <w:rsid w:val="00C959FD"/>
    <w:rsid w:val="00C96AB6"/>
    <w:rsid w:val="00CA686F"/>
    <w:rsid w:val="00CA7EAB"/>
    <w:rsid w:val="00CB6199"/>
    <w:rsid w:val="00CC7494"/>
    <w:rsid w:val="00CF1902"/>
    <w:rsid w:val="00CF4F25"/>
    <w:rsid w:val="00D05BDB"/>
    <w:rsid w:val="00D20F1E"/>
    <w:rsid w:val="00D3138C"/>
    <w:rsid w:val="00D36612"/>
    <w:rsid w:val="00D377F8"/>
    <w:rsid w:val="00D42C49"/>
    <w:rsid w:val="00D44D6A"/>
    <w:rsid w:val="00D5011B"/>
    <w:rsid w:val="00D547AB"/>
    <w:rsid w:val="00D60E96"/>
    <w:rsid w:val="00D704DA"/>
    <w:rsid w:val="00D7094A"/>
    <w:rsid w:val="00D70BC5"/>
    <w:rsid w:val="00D809EB"/>
    <w:rsid w:val="00D92C8D"/>
    <w:rsid w:val="00D9612B"/>
    <w:rsid w:val="00DA07CD"/>
    <w:rsid w:val="00DB128E"/>
    <w:rsid w:val="00DB1424"/>
    <w:rsid w:val="00DB5F99"/>
    <w:rsid w:val="00DB76A8"/>
    <w:rsid w:val="00DC3013"/>
    <w:rsid w:val="00DE458E"/>
    <w:rsid w:val="00DE4F8C"/>
    <w:rsid w:val="00DE7116"/>
    <w:rsid w:val="00E004D2"/>
    <w:rsid w:val="00E027A8"/>
    <w:rsid w:val="00E02EAF"/>
    <w:rsid w:val="00E03969"/>
    <w:rsid w:val="00E04E23"/>
    <w:rsid w:val="00E05998"/>
    <w:rsid w:val="00E13ECA"/>
    <w:rsid w:val="00E236A7"/>
    <w:rsid w:val="00E507B2"/>
    <w:rsid w:val="00E57768"/>
    <w:rsid w:val="00E64936"/>
    <w:rsid w:val="00E67BE7"/>
    <w:rsid w:val="00E70E2B"/>
    <w:rsid w:val="00E76E11"/>
    <w:rsid w:val="00E8780A"/>
    <w:rsid w:val="00E92D02"/>
    <w:rsid w:val="00E93771"/>
    <w:rsid w:val="00EB3383"/>
    <w:rsid w:val="00EB3B52"/>
    <w:rsid w:val="00EC4C3D"/>
    <w:rsid w:val="00EC6617"/>
    <w:rsid w:val="00ED3E39"/>
    <w:rsid w:val="00EE16D4"/>
    <w:rsid w:val="00EE6A4E"/>
    <w:rsid w:val="00EF01E9"/>
    <w:rsid w:val="00EF10FA"/>
    <w:rsid w:val="00F07D98"/>
    <w:rsid w:val="00F12ADA"/>
    <w:rsid w:val="00F16143"/>
    <w:rsid w:val="00F2550A"/>
    <w:rsid w:val="00F30440"/>
    <w:rsid w:val="00F35AEB"/>
    <w:rsid w:val="00F41A0E"/>
    <w:rsid w:val="00F41FF9"/>
    <w:rsid w:val="00F450C3"/>
    <w:rsid w:val="00F53D08"/>
    <w:rsid w:val="00F54468"/>
    <w:rsid w:val="00F60692"/>
    <w:rsid w:val="00F67C93"/>
    <w:rsid w:val="00F71FD1"/>
    <w:rsid w:val="00F7376F"/>
    <w:rsid w:val="00F8731E"/>
    <w:rsid w:val="00F96BF6"/>
    <w:rsid w:val="00F96C60"/>
    <w:rsid w:val="00FA32A6"/>
    <w:rsid w:val="00FA3922"/>
    <w:rsid w:val="00FA5884"/>
    <w:rsid w:val="00FA5E90"/>
    <w:rsid w:val="00FB029D"/>
    <w:rsid w:val="00FB22F9"/>
    <w:rsid w:val="00FC2FAB"/>
    <w:rsid w:val="00FC5F1B"/>
    <w:rsid w:val="00FD0A13"/>
    <w:rsid w:val="00FD448E"/>
    <w:rsid w:val="00FD7677"/>
    <w:rsid w:val="00FE0732"/>
    <w:rsid w:val="00FE6A5D"/>
    <w:rsid w:val="00FE7AE1"/>
    <w:rsid w:val="00FF37C1"/>
    <w:rsid w:val="00FF5303"/>
    <w:rsid w:val="03F02B15"/>
    <w:rsid w:val="084C081E"/>
    <w:rsid w:val="098128D4"/>
    <w:rsid w:val="0B272152"/>
    <w:rsid w:val="0E830681"/>
    <w:rsid w:val="1086146E"/>
    <w:rsid w:val="11AA4C72"/>
    <w:rsid w:val="16AE2AFE"/>
    <w:rsid w:val="18B5670C"/>
    <w:rsid w:val="21643DD1"/>
    <w:rsid w:val="220F3E00"/>
    <w:rsid w:val="27BC3589"/>
    <w:rsid w:val="2DF15C33"/>
    <w:rsid w:val="365B2C79"/>
    <w:rsid w:val="39915EC5"/>
    <w:rsid w:val="3A9E02ED"/>
    <w:rsid w:val="3B53393B"/>
    <w:rsid w:val="41AC2F82"/>
    <w:rsid w:val="439D4216"/>
    <w:rsid w:val="47A4639C"/>
    <w:rsid w:val="492017F3"/>
    <w:rsid w:val="4B8D4BBF"/>
    <w:rsid w:val="4FFB74C8"/>
    <w:rsid w:val="5411375D"/>
    <w:rsid w:val="550A7964"/>
    <w:rsid w:val="55227568"/>
    <w:rsid w:val="57683908"/>
    <w:rsid w:val="5A2A67A1"/>
    <w:rsid w:val="5A314375"/>
    <w:rsid w:val="5AC107D2"/>
    <w:rsid w:val="6A4C6AA7"/>
    <w:rsid w:val="6C54268C"/>
    <w:rsid w:val="72C04335"/>
    <w:rsid w:val="7B6715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qFormat/>
    <w:uiPriority w:val="0"/>
    <w:rPr>
      <w:rFonts w:ascii="宋体"/>
      <w:sz w:val="24"/>
    </w:rPr>
  </w:style>
  <w:style w:type="paragraph" w:styleId="3">
    <w:name w:val="Plain Text"/>
    <w:basedOn w:val="1"/>
    <w:qFormat/>
    <w:uiPriority w:val="0"/>
    <w:rPr>
      <w:rFonts w:ascii="宋体" w:hAnsi="Courier New" w:cs="Courier New"/>
      <w:szCs w:val="21"/>
    </w:rPr>
  </w:style>
  <w:style w:type="paragraph" w:styleId="4">
    <w:name w:val="Date"/>
    <w:basedOn w:val="1"/>
    <w:next w:val="1"/>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3">
    <w:name w:val="样式3"/>
    <w:basedOn w:val="3"/>
    <w:qFormat/>
    <w:uiPriority w:val="0"/>
    <w:pPr>
      <w:spacing w:line="0" w:lineRule="atLeast"/>
      <w:outlineLvl w:val="0"/>
    </w:pPr>
    <w:rPr>
      <w:rFonts w:cs="Times New Roman"/>
      <w:sz w:val="28"/>
      <w:szCs w:val="24"/>
    </w:rPr>
  </w:style>
  <w:style w:type="character" w:customStyle="1" w:styleId="14">
    <w:name w:val="文档结构图 Char"/>
    <w:link w:val="2"/>
    <w:qFormat/>
    <w:uiPriority w:val="0"/>
    <w:rPr>
      <w:rFonts w:ascii="宋体"/>
      <w:kern w:val="2"/>
      <w:sz w:val="24"/>
      <w:szCs w:val="24"/>
    </w:rPr>
  </w:style>
  <w:style w:type="character" w:customStyle="1" w:styleId="15">
    <w:name w:val="批注框文本 Char"/>
    <w:link w:val="5"/>
    <w:qFormat/>
    <w:uiPriority w:val="0"/>
    <w:rPr>
      <w:kern w:val="2"/>
      <w:sz w:val="18"/>
      <w:szCs w:val="18"/>
    </w:rPr>
  </w:style>
  <w:style w:type="paragraph" w:styleId="16">
    <w:name w:val="List Paragraph"/>
    <w:basedOn w:val="1"/>
    <w:qFormat/>
    <w:uiPriority w:val="72"/>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A4E2C8-4ED9-449D-8C98-2C06BA074EF1}">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Pages>
  <Words>779</Words>
  <Characters>4444</Characters>
  <Lines>37</Lines>
  <Paragraphs>10</Paragraphs>
  <TotalTime>2</TotalTime>
  <ScaleCrop>false</ScaleCrop>
  <LinksUpToDate>false</LinksUpToDate>
  <CharactersWithSpaces>5213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2021-06-08T07:02:00Z</dcterms:created>
  <dc:creator>ibm</dc:creator>
  <cp:lastModifiedBy>11201004</cp:lastModifiedBy>
  <cp:lastPrinted>2019-09-11T08:08:00Z</cp:lastPrinted>
  <dcterms:modified xsi:type="dcterms:W3CDTF">2021-07-19T07:47:08Z</dcterms:modified>
  <dc:title>关于上报2008年春季设备器材采购计划</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076DC6A69D15438284D443F99523DAB9</vt:lpwstr>
  </property>
</Properties>
</file>