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color w:val="auto"/>
          <w:sz w:val="24"/>
          <w:highlight w:val="none"/>
        </w:rPr>
      </w:pPr>
    </w:p>
    <w:p>
      <w:pPr>
        <w:jc w:val="center"/>
        <w:rPr>
          <w:rFonts w:hint="eastAsia" w:ascii="宋体" w:hAnsi="宋体" w:eastAsia="黑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黑体"/>
          <w:color w:val="auto"/>
          <w:sz w:val="28"/>
          <w:szCs w:val="28"/>
          <w:highlight w:val="none"/>
        </w:rPr>
        <w:t>动态三维表面成像系统技术参数表</w:t>
      </w:r>
    </w:p>
    <w:p>
      <w:pPr>
        <w:jc w:val="center"/>
        <w:rPr>
          <w:rFonts w:hint="eastAsia" w:ascii="宋体" w:hAnsi="宋体" w:eastAsia="黑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黑体"/>
          <w:color w:val="auto"/>
          <w:sz w:val="28"/>
          <w:szCs w:val="28"/>
          <w:highlight w:val="none"/>
        </w:rPr>
        <w:t>2021-JK15-W1338</w:t>
      </w:r>
      <w:bookmarkStart w:id="5" w:name="_GoBack"/>
      <w:bookmarkEnd w:id="5"/>
    </w:p>
    <w:p>
      <w:pPr>
        <w:ind w:left="-360"/>
        <w:jc w:val="center"/>
        <w:rPr>
          <w:rFonts w:ascii="楷体_GB2312" w:eastAsia="楷体_GB2312"/>
          <w:b/>
          <w:color w:val="auto"/>
          <w:sz w:val="24"/>
          <w:highlight w:val="none"/>
        </w:rPr>
      </w:pPr>
    </w:p>
    <w:tbl>
      <w:tblPr>
        <w:tblStyle w:val="12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333"/>
        <w:gridCol w:w="815"/>
        <w:gridCol w:w="265"/>
        <w:gridCol w:w="3003"/>
        <w:gridCol w:w="314"/>
        <w:gridCol w:w="2959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设备名称</w:t>
            </w:r>
          </w:p>
        </w:tc>
        <w:tc>
          <w:tcPr>
            <w:tcW w:w="7738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动态三维表面成像系统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设备数量</w:t>
            </w:r>
          </w:p>
        </w:tc>
        <w:tc>
          <w:tcPr>
            <w:tcW w:w="4730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1 </w:t>
            </w:r>
          </w:p>
        </w:tc>
        <w:tc>
          <w:tcPr>
            <w:tcW w:w="3008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■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 xml:space="preserve">进口 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>□国产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9808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36" w:hRule="atLeas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  <w:t>可</w:t>
            </w:r>
            <w: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  <w:t>快速扫描获得人脸面部信息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  <w:t>，并实现三维建模，进行数据分析。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9" w:hRule="atLeas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7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highlight w:val="none"/>
              </w:rPr>
              <w:t>描述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面部扫描主体设备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1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面部扫描正版软件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0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高清扫描镜头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5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4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后台多数据处理软件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1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5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口扫补光灯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3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6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口扫实时投屏屏幕或掌上平板设备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7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专用图像处理级电脑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8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电动可调口扫设备支架及遥控设备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9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连接线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0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三维打印机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超声波清洗设备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UV固化设备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JMT主机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14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上颌传感器、下颌运动器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15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颌架转移套装（含1个转移台，5片坐标板、9根专用螺杆）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16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上颌颌板、M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INI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颌板、下颌颌叉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17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快速咬合定位器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18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头部固定带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19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配件包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20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ind w:right="-153" w:rightChars="-73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颌架转移-CAD/CAM模块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ind w:right="-153" w:rightChars="-73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 xml:space="preserve">功能分析模块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D-Analysis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ind w:right="-153" w:rightChars="-73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颌位关系模块 JawRelation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23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EXOCAD设计软件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9" w:hRule="atLeas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28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指标名称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66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电源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220V 50Hz，10A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★扫描镜头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及其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7组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镜头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，每组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分辨率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大于等于6K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★口扫补光灯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5组及以上镭射补光灯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★成像速度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小于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等于3秒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＃扫描方式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高清拍照配合点阵投影技术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★数据导出格式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包括不限于STL、PLY、OBJ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124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★配套软件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软件具有数据处理、修复体设计等功能，兼容CBCT、主流口扫设备数据，可满足正畸治疗模拟、美学修复设计、种植体模拟、种植导板设计、虚拟咬合架等功能，并终身免费升级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9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★扫描精度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大于等于0.2mm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＃取象速度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每秒大于等于100张，响应速度0.2秒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0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★数据拟合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自动拟合CBCT、口扫、同一病人各个时期的面扫数据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9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设备支架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占地面积小于等于5平方米，支架电动可调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＃实时扫描结果展示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配套27寸以上LED显示屏或兼容软件的掌上平板设备，同时带有面部所有细节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0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＃配套网络服务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构建内部局域网，数据可实时传输于面扫设备、数据处理电脑、展示显示屏或掌上医患沟通设备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成型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尺寸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1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 xml:space="preserve">44*81*200 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9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分辨率/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像素尺寸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 xml:space="preserve">3840 × 2160 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像素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eastAsia="zh-CN"/>
              </w:rPr>
              <w:t>，最小像素尺寸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5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6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打印件精度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颌骨打印±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25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um；牙模打印±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um；正畸标准模型±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25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um；临时牙±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12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um；种植模型假牙龈±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11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um；面部器官±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25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um；基托软组织±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15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7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技术类型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低剥离力 DLP 光固化技术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5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层厚设置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0.025 - 0.3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成型速度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最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快</w:t>
            </w:r>
            <w:r>
              <w:rPr>
                <w:rFonts w:cs="Times New Roman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 xml:space="preserve"> 90 mm / 小时（打印速度与所用耗材类型和打印设置有关）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val="en-US" w:eastAsia="zh-CN"/>
              </w:rPr>
              <w:t>#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光源/波段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UV LED 光源，德州仪器 DMD 芯片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/</w:t>
            </w: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 xml:space="preserve">385 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6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val="en-US" w:eastAsia="zh-CN"/>
              </w:rPr>
              <w:t>#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三维打印特殊功能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边打印边加热，打印物料槽只需更替打印薄膜即可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★文件格式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  <w:t>.BLS/.STL/.OBJ/.RS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5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＃高阶功能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支撑编辑，自动修复，模型切割，模型抽壳，模型打孔；可进行远程控制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5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下颌运动轨迹记录机理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通过下颌运动轨迹记录，可对口颌系统的生理或病理情况做出诊断及辅助治疗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8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下颌运动轨迹记录精度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超声波频率：40kHZ；测量范围：10-100mm；定位精度：±0.1mm；咬合架计算精度：±2°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0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★下颌运动轨迹记录数据匹配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测量者运动过程中支持同步导入口扫数据，实现患者运动测量时，同步显示咬合干扰功能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6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下颌运动轨迹记录特征点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系统具备标志指针，可记录面部特征点或运动参考点，包括眼角、眶下缘点、嘴角点等，可在运动过程中同步记录上述所有特征点运动轨迹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下颌运动轨迹记录沟通功能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系统可记录患者下颌切端与铰链轴点实时运动，以特征点轨迹或虚拟三维模型形式进行运动演示，动态可视化运动数据和运动轨迹图，辅助医生诊断与医患沟通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★下颌运动轨迹记录观测界面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配置DICOM数据运动显示功能，可实时观测断层扫描界面的矢状面、冠状面、水平面实时变化及展示三维重建下颌骨运动过程，辅助颞下颌关节诊断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下颌运动轨迹记录速度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可在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40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秒内测量完毕，获取髁突及切端前伸、侧方、开口等轨迹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1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★下颌运动轨迹记录颌架匹配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可快速测量得到Artex、SAM、Ka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v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o、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Stratos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、P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S1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等知名品牌咬合架的调节数据信息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3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下颌运动轨迹记录虚拟调整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可生成.XML电子运动轨迹文件,导入开放型义齿设计系统进行虚拟调颌设计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41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★下颌运动轨迹记录电子辅助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支持多种电子方法辅助测量适应性建颌位，包括电子哥特式弓方式、去程序化重复寻找等方式，用于咬合重建，数字化咬合垫设计等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4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下颌运动轨迹记录临床操作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支持M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INI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颌板，尺寸≤4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*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12.5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*</w:t>
            </w:r>
            <w:r>
              <w:rPr>
                <w:rFonts w:asciiTheme="minorEastAsia" w:hAnsiTheme="minorEastAsia" w:eastAsiaTheme="minorEastAsia"/>
                <w:color w:val="auto"/>
                <w:highlight w:val="none"/>
              </w:rPr>
              <w:t>46mm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，用于纯数字修复设计流程；支持无线脚踏式开关，有助于临床无接触操作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0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pStyle w:val="9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  <w:lang w:val="en-US" w:eastAsia="zh-CN"/>
              </w:rPr>
              <w:t>#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kern w:val="2"/>
                <w:highlight w:val="none"/>
              </w:rPr>
              <w:t>用户可视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pStyle w:val="9"/>
              <w:jc w:val="both"/>
              <w:rPr>
                <w:rFonts w:cs="Times New Roman" w:asciiTheme="minorEastAsia" w:hAnsiTheme="minorEastAsia" w:eastAsiaTheme="minorEastAsia"/>
                <w:color w:val="auto"/>
                <w:kern w:val="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用户界面主题色可调，针对不同用户实现个性化背景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93" w:hRule="exact"/>
          <w:jc w:val="center"/>
        </w:trPr>
        <w:tc>
          <w:tcPr>
            <w:tcW w:w="98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质保期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整体保修五年，所有软件免费升级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备件库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维修站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收费标准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质保期内免费维修，质保期外配件按市场价70% 收取，免收人工费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培训支持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维修响应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2小时响应，24小时到达现场，主要零部件损坏，直接更换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sz w:val="24"/>
                <w:szCs w:val="28"/>
                <w:highlight w:val="none"/>
              </w:rPr>
              <w:t>到货时间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合同签订后，</w:t>
            </w:r>
            <w:r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</w:rPr>
              <w:t>0个工作日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46" w:hRule="exact"/>
          <w:jc w:val="center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等线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最高限价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160万元人民币</w:t>
            </w:r>
          </w:p>
        </w:tc>
      </w:tr>
    </w:tbl>
    <w:p>
      <w:pPr>
        <w:ind w:left="720" w:hanging="720" w:hanging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说明: 功能要求、配置清单为必备要求，从功能角度提出；技术参数应体现设备档次要求，参数中区分“</w:t>
      </w:r>
      <w:bookmarkStart w:id="0" w:name="OLE_LINK1"/>
      <w:bookmarkStart w:id="1" w:name="OLE_LINK3"/>
      <w:r>
        <w:rPr>
          <w:rFonts w:ascii="Times New Roman" w:hAnsi="Times New Roman" w:eastAsia="仿宋_GB2312"/>
          <w:sz w:val="24"/>
        </w:rPr>
        <w:t>★</w:t>
      </w:r>
      <w:bookmarkEnd w:id="0"/>
      <w:bookmarkEnd w:id="1"/>
      <w:r>
        <w:rPr>
          <w:rFonts w:ascii="Times New Roman" w:hAnsi="Times New Roman" w:eastAsia="仿宋_GB2312"/>
          <w:sz w:val="24"/>
        </w:rPr>
        <w:t>”、“</w:t>
      </w:r>
      <w:bookmarkStart w:id="2" w:name="OLE_LINK5"/>
      <w:bookmarkStart w:id="3" w:name="OLE_LINK4"/>
      <w:r>
        <w:rPr>
          <w:rFonts w:ascii="Times New Roman" w:hAnsi="Times New Roman" w:eastAsia="仿宋_GB2312"/>
          <w:b/>
          <w:sz w:val="24"/>
        </w:rPr>
        <w:t>＃</w:t>
      </w:r>
      <w:bookmarkEnd w:id="2"/>
      <w:bookmarkEnd w:id="3"/>
      <w:r>
        <w:rPr>
          <w:rFonts w:ascii="Times New Roman" w:hAnsi="Times New Roman" w:eastAsia="仿宋_GB2312"/>
          <w:sz w:val="24"/>
        </w:rPr>
        <w:t>”参数，其中“★”参数为核心参数，为必须满足参数；“</w:t>
      </w:r>
      <w:bookmarkStart w:id="4" w:name="OLE_LINK2"/>
      <w:r>
        <w:rPr>
          <w:rFonts w:ascii="Times New Roman" w:hAnsi="Times New Roman" w:eastAsia="仿宋_GB2312"/>
          <w:b/>
          <w:sz w:val="24"/>
        </w:rPr>
        <w:t>＃</w:t>
      </w:r>
      <w:bookmarkEnd w:id="4"/>
      <w:r>
        <w:rPr>
          <w:rFonts w:ascii="Times New Roman" w:hAnsi="Times New Roman" w:eastAsia="仿宋_GB2312"/>
          <w:sz w:val="24"/>
        </w:rPr>
        <w:t>”参数为重要参数，在采购评审中分值较高。售后服务要求尽量填写，没有要求的可不填。</w:t>
      </w:r>
    </w:p>
    <w:p>
      <w:pPr>
        <w:spacing w:line="360" w:lineRule="auto"/>
        <w:rPr>
          <w:rFonts w:ascii="宋体" w:hAnsi="宋体" w:eastAsia="宋体"/>
          <w:color w:val="auto"/>
          <w:sz w:val="24"/>
          <w:highlight w:val="none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822"/>
    <w:rsid w:val="0016146C"/>
    <w:rsid w:val="00382F64"/>
    <w:rsid w:val="00725822"/>
    <w:rsid w:val="00985AE7"/>
    <w:rsid w:val="00A942C9"/>
    <w:rsid w:val="00C01B91"/>
    <w:rsid w:val="00C6700C"/>
    <w:rsid w:val="00FB383C"/>
    <w:rsid w:val="00FD7A95"/>
    <w:rsid w:val="037D379F"/>
    <w:rsid w:val="0BDD1AFD"/>
    <w:rsid w:val="17510551"/>
    <w:rsid w:val="27DD5AE1"/>
    <w:rsid w:val="338F1E8F"/>
    <w:rsid w:val="49F27FFF"/>
    <w:rsid w:val="4C3C55D2"/>
    <w:rsid w:val="5132022A"/>
    <w:rsid w:val="57B05D88"/>
    <w:rsid w:val="5CB22661"/>
    <w:rsid w:val="5F5F1C40"/>
    <w:rsid w:val="7860299C"/>
    <w:rsid w:val="7C2266E0"/>
    <w:rsid w:val="7E357B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 w:afterLines="0"/>
    </w:pPr>
    <w:rPr>
      <w:rFonts w:ascii="Times New Roman"/>
      <w:kern w:val="2"/>
      <w:sz w:val="21"/>
    </w:rPr>
  </w:style>
  <w:style w:type="paragraph" w:styleId="3">
    <w:name w:val="Body Text 2"/>
    <w:basedOn w:val="1"/>
    <w:unhideWhenUsed/>
    <w:uiPriority w:val="99"/>
    <w:rPr>
      <w:sz w:val="28"/>
    </w:rPr>
  </w:style>
  <w:style w:type="paragraph" w:styleId="4">
    <w:name w:val="annotation subject"/>
    <w:basedOn w:val="5"/>
    <w:next w:val="5"/>
    <w:link w:val="18"/>
    <w:qFormat/>
    <w:uiPriority w:val="0"/>
    <w:rPr>
      <w:b/>
      <w:bCs/>
    </w:rPr>
  </w:style>
  <w:style w:type="paragraph" w:styleId="5">
    <w:name w:val="annotation text"/>
    <w:basedOn w:val="1"/>
    <w:link w:val="17"/>
    <w:qFormat/>
    <w:uiPriority w:val="0"/>
    <w:pPr>
      <w:jc w:val="left"/>
    </w:pPr>
  </w:style>
  <w:style w:type="paragraph" w:styleId="6">
    <w:name w:val="Balloon Text"/>
    <w:basedOn w:val="1"/>
    <w:link w:val="16"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1">
    <w:name w:val="annotation reference"/>
    <w:basedOn w:val="10"/>
    <w:uiPriority w:val="0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文字 Char"/>
    <w:basedOn w:val="10"/>
    <w:link w:val="5"/>
    <w:qFormat/>
    <w:uiPriority w:val="0"/>
    <w:rPr>
      <w:kern w:val="2"/>
      <w:sz w:val="21"/>
      <w:szCs w:val="22"/>
    </w:rPr>
  </w:style>
  <w:style w:type="character" w:customStyle="1" w:styleId="18">
    <w:name w:val="批注主题 Char"/>
    <w:basedOn w:val="17"/>
    <w:link w:val="4"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9FBE0-FCF8-4B20-947B-5E7B942B6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512</Words>
  <Characters>2919</Characters>
  <Lines>24</Lines>
  <Paragraphs>6</Paragraphs>
  <ScaleCrop>false</ScaleCrop>
  <LinksUpToDate>false</LinksUpToDate>
  <CharactersWithSpaces>3425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2021-07-12T03:19:00Z</dcterms:created>
  <dc:creator>Micorosoft</dc:creator>
  <cp:lastModifiedBy>Administrator</cp:lastModifiedBy>
  <cp:lastPrinted>2021-07-23T02:09:00Z</cp:lastPrinted>
  <dcterms:modified xsi:type="dcterms:W3CDTF">2021-10-11T07:57:04Z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1599a2fe435e4e2287f35af2e158337a</vt:lpwstr>
  </property>
</Properties>
</file>