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autoSpaceDN w:val="0"/>
        <w:adjustRightInd w:val="0"/>
        <w:spacing w:before="240" w:line="400" w:lineRule="exact"/>
        <w:rPr>
          <w:rFonts w:hint="eastAsia" w:hAnsi="宋体" w:eastAsia="宋体"/>
          <w:b/>
          <w:sz w:val="36"/>
          <w:szCs w:val="36"/>
          <w:lang w:val="en-US" w:eastAsia="zh-CN"/>
        </w:rPr>
      </w:pPr>
      <w:bookmarkStart w:id="0" w:name="_Toc285612596"/>
      <w:r>
        <w:rPr>
          <w:rFonts w:hint="eastAsia" w:hAnsi="宋体"/>
          <w:b/>
          <w:sz w:val="36"/>
          <w:szCs w:val="36"/>
          <w:lang w:val="en-US" w:eastAsia="zh-CN"/>
        </w:rPr>
        <w:t>附件：</w:t>
      </w:r>
    </w:p>
    <w:tbl>
      <w:tblPr>
        <w:tblStyle w:val="5"/>
        <w:tblW w:w="86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396"/>
        <w:gridCol w:w="1454"/>
        <w:gridCol w:w="2250"/>
        <w:gridCol w:w="1554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823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黑体" w:eastAsia="黑体"/>
              </w:rPr>
            </w:pPr>
            <w:r>
              <w:rPr>
                <w:rStyle w:val="7"/>
                <w:rFonts w:ascii="黑体" w:eastAsia="黑体"/>
              </w:rPr>
              <w:t>设备名称</w:t>
            </w:r>
          </w:p>
        </w:tc>
        <w:tc>
          <w:tcPr>
            <w:tcW w:w="6812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黑体" w:eastAsia="黑体"/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医疗设备退役报废技术鉴定（服务）</w:t>
            </w:r>
            <w:r>
              <w:rPr>
                <w:rStyle w:val="7"/>
                <w:rFonts w:ascii="黑体" w:eastAsia="黑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823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黑体" w:eastAsia="黑体"/>
              </w:rPr>
            </w:pPr>
            <w:r>
              <w:rPr>
                <w:rStyle w:val="7"/>
                <w:rFonts w:hint="eastAsia" w:ascii="黑体" w:eastAsia="黑体"/>
              </w:rPr>
              <w:t>招标最高限价</w:t>
            </w:r>
          </w:p>
        </w:tc>
        <w:tc>
          <w:tcPr>
            <w:tcW w:w="3704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napToGrid w:val="0"/>
              <w:ind w:right="120"/>
              <w:jc w:val="center"/>
              <w:rPr>
                <w:rStyle w:val="7"/>
                <w:rFonts w:hint="default" w:ascii="楷体_GB2312" w:eastAsia="等线"/>
                <w:b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zh-CN"/>
              </w:rPr>
              <w:t>19.23万元</w:t>
            </w:r>
          </w:p>
        </w:tc>
        <w:tc>
          <w:tcPr>
            <w:tcW w:w="1554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黑体" w:eastAsia="黑体"/>
                <w:color w:val="000000"/>
              </w:rPr>
            </w:pPr>
            <w:r>
              <w:rPr>
                <w:rStyle w:val="7"/>
                <w:rFonts w:ascii="黑体" w:eastAsia="黑体"/>
                <w:color w:val="000000"/>
              </w:rPr>
              <w:t>设备数量</w:t>
            </w:r>
          </w:p>
        </w:tc>
        <w:tc>
          <w:tcPr>
            <w:tcW w:w="155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楷体_GB2312" w:eastAsia="等线"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lang w:val="en-US" w:eastAsia="zh-CN"/>
              </w:rPr>
              <w:t>32台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823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楷体_GB2312" w:eastAsia="楷体_GB2312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</w:rPr>
              <w:t>国别</w:t>
            </w:r>
          </w:p>
        </w:tc>
        <w:tc>
          <w:tcPr>
            <w:tcW w:w="6812" w:type="dxa"/>
            <w:gridSpan w:val="4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黑体" w:eastAsia="黑体"/>
                <w:color w:val="000000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国产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8635" w:type="dxa"/>
            <w:gridSpan w:val="6"/>
            <w:tcBorders>
              <w:top w:val="trip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jc w:val="center"/>
        </w:trPr>
        <w:tc>
          <w:tcPr>
            <w:tcW w:w="8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ind w:firstLine="48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（一）服务时间和地点：自本合同生效之日起，分批检测服务，具体时间、地点以招标人通知为准。</w:t>
            </w:r>
          </w:p>
          <w:p>
            <w:pPr>
              <w:tabs>
                <w:tab w:val="left" w:pos="0"/>
              </w:tabs>
              <w:spacing w:line="360" w:lineRule="auto"/>
              <w:ind w:firstLine="48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（二）接招标人通知后30个工作日内检测完毕</w:t>
            </w:r>
            <w:bookmarkStart w:id="1" w:name="_GoBack"/>
            <w:bookmarkEnd w:id="1"/>
            <w:r>
              <w:rPr>
                <w:rFonts w:hint="eastAsia" w:ascii="仿宋" w:hAnsi="仿宋" w:eastAsia="仿宋"/>
              </w:rPr>
              <w:t>，出具具有法律效力的检测报告。</w:t>
            </w:r>
          </w:p>
          <w:p>
            <w:pPr>
              <w:tabs>
                <w:tab w:val="left" w:pos="0"/>
              </w:tabs>
              <w:spacing w:line="360" w:lineRule="auto"/>
              <w:ind w:firstLine="480" w:firstLineChars="2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（三）保密：投标人不得向第三方泄露招标人提供的技术文件等资料。</w:t>
            </w:r>
          </w:p>
          <w:p>
            <w:pPr>
              <w:tabs>
                <w:tab w:val="left" w:pos="0"/>
              </w:tabs>
              <w:spacing w:line="360" w:lineRule="auto"/>
              <w:ind w:firstLine="480" w:firstLineChars="200"/>
              <w:rPr>
                <w:rStyle w:val="7"/>
                <w:rFonts w:ascii="仿宋_GB2312" w:eastAsia="仿宋_GB2312"/>
              </w:rPr>
            </w:pPr>
            <w:r>
              <w:rPr>
                <w:rFonts w:hint="eastAsia" w:ascii="仿宋" w:hAnsi="仿宋" w:eastAsia="仿宋"/>
              </w:rPr>
              <w:t>（四）投标人可根据招标方实际情况、针对本项目工作与招标人进行沟通配合，更新完善采购人计量管理台账，并根据招标人要求共同协商编制周期检定、校准和检测计划。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6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仿宋_GB2312" w:eastAsia="仿宋_GB2312"/>
              </w:rPr>
            </w:pPr>
            <w:r>
              <w:rPr>
                <w:rStyle w:val="7"/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检测项目清单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仿宋_GB2312" w:eastAsia="仿宋_GB2312"/>
                <w:highlight w:val="none"/>
              </w:rPr>
            </w:pPr>
            <w:r>
              <w:rPr>
                <w:rStyle w:val="7"/>
                <w:rFonts w:ascii="仿宋_GB2312" w:eastAsia="仿宋_GB2312"/>
                <w:highlight w:val="none"/>
              </w:rPr>
              <w:t>序号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Style w:val="7"/>
                <w:rFonts w:hint="eastAsia" w:ascii="仿宋_GB2312" w:eastAsia="仿宋_GB2312"/>
                <w:highlight w:val="none"/>
                <w:lang w:eastAsia="zh-CN"/>
              </w:rPr>
              <w:t>类型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Style w:val="7"/>
                <w:rFonts w:hint="eastAsia" w:ascii="仿宋_GB2312" w:eastAsia="仿宋_GB2312"/>
                <w:highlight w:val="none"/>
                <w:lang w:eastAsia="zh-CN"/>
              </w:rPr>
              <w:t>型号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Style w:val="7"/>
                <w:rFonts w:hint="eastAsia" w:ascii="仿宋_GB2312" w:eastAsia="仿宋_GB2312"/>
                <w:highlight w:val="none"/>
                <w:lang w:eastAsia="zh-CN"/>
              </w:rPr>
              <w:t>设备名称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_GB2312" w:eastAsia="仿宋_GB2312"/>
                <w:highlight w:val="none"/>
                <w:lang w:eastAsia="zh-CN"/>
              </w:rPr>
            </w:pPr>
            <w:r>
              <w:rPr>
                <w:rStyle w:val="7"/>
                <w:rFonts w:hint="eastAsia" w:ascii="仿宋_GB2312" w:eastAsia="仿宋_GB2312"/>
                <w:highlight w:val="none"/>
                <w:lang w:eastAsia="zh-CN"/>
              </w:rPr>
              <w:t>检测参数（</w:t>
            </w:r>
            <w:r>
              <w:rPr>
                <w:rFonts w:hint="eastAsia" w:ascii="仿宋_GB2312" w:eastAsia="仿宋_GB2312"/>
              </w:rPr>
              <w:t>★</w:t>
            </w:r>
            <w:r>
              <w:rPr>
                <w:rStyle w:val="7"/>
                <w:rFonts w:hint="eastAsia" w:ascii="仿宋_GB2312" w:eastAsia="仿宋_GB231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X线机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ED150L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1067-2011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医用诊断数字减影血管造影（DSA）系统X射线辐射源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1.空气比释动能率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3.模拟血管最小尺寸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6.对比度线性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7.减影性能影响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8.X射线管电压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9.X射线管的焦点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X线机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XPLORER1800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1078-2012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医用数字摄影（CR、DR）系统X射线辐射源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1.辐射输出的空气比释动能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2.辐射输出的重复性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7.光野与照射野一致性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8.有效焦点尺寸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9.X射线管电压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CR系统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1078-2012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医用数字摄影（CR、DR）系统X射线辐射源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1.辐射输出的空气比释动能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2.辐射输出的重复性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7.光野与照射野一致性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8.有效焦点尺寸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9.X射线管电压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CR系统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1078-2012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医用数字摄影（CR、DR）系统X射线辐射源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1.辐射输出的空气比释动能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2.辐射输出的重复性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7.光野与照射野一致性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8.有效焦点尺寸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9.X射线管电压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直线加速器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Precise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589-2008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医用电子加速器辐射源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1.辐射质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2.辐射野的均整度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3.辐射野与光野的重合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4.辐射野的对称性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5.剂量示值的重复性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6.剂量示值的线性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7.剂量示值的误差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头部旋转r刀治疗系统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OUR-XGD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1013-2006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头部立体定向放射外科γ辐射治疗源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1.辐射等中心与机械等中心一致性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2.叠加辐射野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3.辐射野叠加半影区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4.γ刀输出剂量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5.输出计量重复性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6.输出计量线性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7.输出剂量符合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8.焦点剂量率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全身旋转r刀系统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OUR-QGD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WS 582-2017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X、γ射线立体定向放射治疗系统质量控制检测规范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1.定位参考点与照射野中心的距离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2.焦点剂量率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3.焦点计划计量与实测剂量的相对偏差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4.照射野尺寸偏差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5.照射野半影宽度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核磁共振仪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AVANTO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JJF（冀）3002-2018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医用磁共振成像系统校准规范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1.主磁场强度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2.信号信噪比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6.低对比分辨力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8.纵横比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螺旋CT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Lightspeed 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961-2017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医用诊断螺旋计算机断层摄影装置（CT）X射线辐射源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1.剂量指数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3.噪声水平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4.图像之间的一致性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5.CT值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8.低对比分辨力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X线机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OEC9800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WS 76-2020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医用X射线诊断设备质量控制检测规范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1.透视受检者入射体表空气比释动能率典型值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2.透视受检者入射体表空气比释动能率最大值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3.高对比度分辨力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5.入射屏前空气比释动能率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6.自动亮度控制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7.透视防护区检测平面上周围剂量当量率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核磁共振成像系统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INTERAL1.5T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JJF（冀）3002-2018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医用磁共振成像系统校准规范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1.主磁场强度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2.信号信噪比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6.低对比分辨力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8.纵横比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磁共振成像系统升级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1.5TMR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JJF（冀）3002-2018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医用磁共振成像系统校准规范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1.主磁场强度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2.信号信噪比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6.低对比分辨力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8.纵横比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螺旋CT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PQ6000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961-2017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医用诊断螺旋计算机断层摄影装置（CT）X射线辐射源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1.剂量指数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3.噪声水平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4.图像之间的一致性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5.CT值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8.低对比分辨力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血管造影系统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AXIOM ARTIS DTA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1067-2011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医用诊断数字减影血管造影（DSA）系统X射线辐射源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1.空气比释动能率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3.模拟血管最小尺寸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6.对比度线性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7.减影性能影响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8.X射线管电压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9.X射线管的焦点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数字减影血管造影X线系统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GE-2000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1067-2011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医用诊断数字减影血管造影（DSA）系统X射线辐射源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1.空气比释动能率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3.模拟血管最小尺寸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6.对比度线性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7.减影性能影响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8.X射线管电压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9.X射线管的焦点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C型臂X光机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BIPLANAR500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WS 76-2020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医用X射线诊断设备质量控制检测规范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1.透视受检者入射体表空气比释动能率典型值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2.透视受检者入射体表空气比释动能率最大值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3.高对比度分辨力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5.入射屏前空气比释动能率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6.自动亮度控制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7.透视防护区检测平面上周围剂量当量率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X线数字减影装置(血管机)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Angiostar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1067-2011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医用诊断数字减影血管造影（DSA）系统X射线辐射源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1.空气比释动能率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3.模拟血管最小尺寸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6.对比度线性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7.减影性能影响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8.X射线管电压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9.X射线管的焦点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体伽玛刀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WS 582-2017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X、γ射线立体定向放射治疗系统质量控制检测规范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1.定位参考点与照射野中心的距离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2.焦点剂量率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3.焦点计划计量与实测剂量的相对偏差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4.照射野尺寸偏差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5.照射野半影宽度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双光子带电子线医用直线加速器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Varian Clinac 21EX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589-2008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医用电子加速器辐射源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1.辐射质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2.辐射野的均整度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3.辐射野与光野的重合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4.辐射野的对称性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5.剂量示值的重复性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6.剂量示值的线性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7.剂量示值的误差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128排CT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Brilliance iCT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961-2017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医用诊断螺旋计算机断层摄影装置（CT）X射线辐射源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1.剂量指数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3.噪声水平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4.图像之间的一致性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5.CT值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8.低对比分辨力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磁共振成像系统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3.0T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JJF（冀）3002-2018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医用磁共振成像系统校准规范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1.主磁场强度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2.信号信噪比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6.低对比分辨力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8.纵横比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全身X线计算机断层扫描(CT)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64排CT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961-2017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医用诊断螺旋计算机断层摄影装置（CT）X射线辐射源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1.剂量指数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3.噪声水平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4.图像之间的一致性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5.CT值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8.低对比分辨力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16层螺旋CT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EMOTION 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961-2017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医用诊断螺旋计算机断层摄影装置（CT）X射线辐射源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1.剂量指数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3.噪声水平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4.图像之间的一致性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5.CT值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8.低对比分辨力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螺旋CT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双排CT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961-2017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医用诊断螺旋计算机断层摄影装置（CT）X射线辐射源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1.剂量指数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3.噪声水平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4.图像之间的一致性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5.CT值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8.低对比分辨力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单光子发射型计算机断层扫描仪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FORTE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WS 523-2019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伽马照相机、单光子发射断层成像设备（SPECT）质量控制检测规范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1.固有均匀性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2.固有空间分辨力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3.固有空间线性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4.固有最大计数率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5.系统平面灵敏度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6.系统空间分辨力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7.断层空间分辨力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8.全身成像系统空间分辨力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DR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1000-DR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1078-2012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医用数字摄影（CR、DR）系统X射线辐射源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1.辐射输出的空气比释动能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2.辐射输出的重复性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7.光野与照射野一致性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8.有效焦点尺寸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9.X射线管电压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DR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DR-SLM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1078-2012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医用数字摄影（CR、DR）系统X射线辐射源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1.辐射输出的空气比释动能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2.辐射输出的重复性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7.光野与照射野一致性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8.有效焦点尺寸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9.X射线管电压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DR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Q-RAD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1078-2012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医用数字摄影（CR、DR）系统X射线辐射源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1.辐射输出的空气比释动能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2.辐射输出的重复性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7.光野与照射野一致性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8.有效焦点尺寸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9.X射线管电压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DR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IMIX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1078-2012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医用数字摄影（CR、DR）系统X射线辐射源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1.辐射输出的空气比释动能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2.辐射输出的重复性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3.辐射输出的质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5.低对比度分辨力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6.影像均匀性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7.光野与照射野一致性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8.有效焦点尺寸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9.X射线管电压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640层320排CT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TSX-301A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961-2017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医用诊断螺旋计算机断层摄影装置（CT）X射线辐射源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1.剂量指数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3.噪声水平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4.图像之间的一致性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5.CT值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8.低对比分辨力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16排CT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Axtive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961-2017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医用诊断螺旋计算机断层摄影装置（CT）X射线辐射源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1.剂量指数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3.噪声水平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4.图像之间的一致性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5.CT值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8.低对比分辨力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单排CT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CT-Aura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961-2017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医用诊断螺旋计算机断层摄影装置（CT）X射线辐射源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1.剂量指数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3.噪声水平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4.图像之间的一致性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5.CT值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8.低对比分辨力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64排CT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Lightspeed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★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JJG 961-2017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医用诊断螺旋计算机断层摄影装置（CT）X射线辐射源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lang w:bidi="ar"/>
              </w:rPr>
              <w:t>1.剂量指数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2.均匀性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3.噪声水平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4.图像之间的一致性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5.CT值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6.层厚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7.空间分辨力</w:t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lang w:bidi="ar"/>
              </w:rPr>
              <w:t>8.低对比分辨力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F1DF9"/>
    <w:rsid w:val="1ED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99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240" w:lineRule="auto"/>
    </w:pPr>
    <w:rPr>
      <w:rFonts w:ascii="Times New Roman"/>
      <w:szCs w:val="24"/>
    </w:rPr>
  </w:style>
  <w:style w:type="paragraph" w:styleId="3">
    <w:name w:val="Body Text 2"/>
    <w:basedOn w:val="1"/>
    <w:next w:val="4"/>
    <w:qFormat/>
    <w:uiPriority w:val="99"/>
    <w:pPr>
      <w:spacing w:after="120" w:line="480" w:lineRule="auto"/>
      <w:ind w:firstLine="200" w:firstLineChars="200"/>
    </w:pPr>
    <w:rPr>
      <w:sz w:val="24"/>
      <w:szCs w:val="24"/>
    </w:rPr>
  </w:style>
  <w:style w:type="paragraph" w:styleId="4">
    <w:name w:val="index 3"/>
    <w:basedOn w:val="1"/>
    <w:next w:val="1"/>
    <w:qFormat/>
    <w:uiPriority w:val="99"/>
    <w:pPr>
      <w:ind w:left="630" w:hanging="210"/>
      <w:jc w:val="left"/>
    </w:pPr>
    <w:rPr>
      <w:sz w:val="18"/>
      <w:szCs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2021-10-22T00:43:00Z</dcterms:created>
  <dc:creator>11201004</dc:creator>
  <cp:lastModifiedBy>11201004</cp:lastModifiedBy>
  <dcterms:modified xsi:type="dcterms:W3CDTF">2021-10-22T01:24:59Z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71440FB85996462B8B6D70DA1390EA02</vt:lpwstr>
  </property>
</Properties>
</file>