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D3" w:rsidRDefault="00FD0A13" w:rsidP="004B5E99">
      <w:pPr>
        <w:snapToGrid w:val="0"/>
        <w:jc w:val="center"/>
        <w:rPr>
          <w:rStyle w:val="NormalCharacter"/>
          <w:rFonts w:eastAsia="方正小标宋简体"/>
          <w:sz w:val="44"/>
          <w:szCs w:val="44"/>
        </w:rPr>
      </w:pPr>
      <w:r w:rsidRPr="008E6F31">
        <w:rPr>
          <w:rStyle w:val="NormalCharacter"/>
          <w:rFonts w:eastAsia="方正小标宋简体"/>
          <w:sz w:val="44"/>
          <w:szCs w:val="44"/>
        </w:rPr>
        <w:t>设备技术参数</w:t>
      </w:r>
      <w:r w:rsidR="00FD448E">
        <w:rPr>
          <w:rStyle w:val="NormalCharacter"/>
          <w:rFonts w:eastAsia="方正小标宋简体"/>
          <w:sz w:val="44"/>
          <w:szCs w:val="44"/>
        </w:rPr>
        <w:t>会审</w:t>
      </w:r>
      <w:r w:rsidRPr="008E6F31">
        <w:rPr>
          <w:rStyle w:val="NormalCharacter"/>
          <w:rFonts w:eastAsia="方正小标宋简体"/>
          <w:sz w:val="44"/>
          <w:szCs w:val="44"/>
        </w:rPr>
        <w:t>表</w:t>
      </w:r>
    </w:p>
    <w:p w:rsidR="006318D3" w:rsidRDefault="004E315C" w:rsidP="004B5E99">
      <w:pPr>
        <w:snapToGrid w:val="0"/>
        <w:ind w:left="-360"/>
        <w:jc w:val="center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 xml:space="preserve">     </w:t>
      </w:r>
    </w:p>
    <w:p w:rsidR="006318D3" w:rsidRDefault="006318D3" w:rsidP="00C470AB">
      <w:pPr>
        <w:snapToGrid w:val="0"/>
        <w:ind w:leftChars="-171" w:left="-359" w:firstLineChars="98" w:firstLine="314"/>
        <w:rPr>
          <w:rStyle w:val="NormalCharacter"/>
          <w:rFonts w:ascii="黑体" w:eastAsia="黑体"/>
          <w:sz w:val="32"/>
          <w:szCs w:val="32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43"/>
        <w:gridCol w:w="874"/>
        <w:gridCol w:w="1149"/>
        <w:gridCol w:w="265"/>
        <w:gridCol w:w="746"/>
        <w:gridCol w:w="1246"/>
        <w:gridCol w:w="627"/>
        <w:gridCol w:w="385"/>
        <w:gridCol w:w="235"/>
        <w:gridCol w:w="566"/>
        <w:gridCol w:w="993"/>
        <w:gridCol w:w="25"/>
        <w:gridCol w:w="1450"/>
        <w:gridCol w:w="49"/>
      </w:tblGrid>
      <w:tr w:rsidR="006318D3" w:rsidTr="004B5E99">
        <w:trPr>
          <w:trHeight w:val="436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18D3" w:rsidRDefault="00416045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设备名称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E74375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 w:rsidRPr="00D93BAB">
              <w:rPr>
                <w:rStyle w:val="NormalCharacter"/>
                <w:rFonts w:ascii="黑体" w:eastAsia="黑体"/>
                <w:sz w:val="24"/>
              </w:rPr>
              <w:t>超声多普勒血流分析仪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416045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计划号</w:t>
            </w:r>
          </w:p>
        </w:tc>
        <w:tc>
          <w:tcPr>
            <w:tcW w:w="15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</w:p>
        </w:tc>
      </w:tr>
      <w:tr w:rsidR="006318D3" w:rsidTr="004B5E99">
        <w:trPr>
          <w:trHeight w:val="436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18D3" w:rsidRDefault="00F96BF6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预算金额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E74375" w:rsidP="004B5E99">
            <w:pPr>
              <w:snapToGrid w:val="0"/>
              <w:ind w:right="120"/>
              <w:jc w:val="right"/>
              <w:rPr>
                <w:rStyle w:val="NormalCharacter"/>
                <w:rFonts w:ascii="楷体_GB2312" w:eastAsia="等线"/>
                <w:b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4</w:t>
            </w:r>
            <w:r w:rsidR="008F63E5">
              <w:rPr>
                <w:rStyle w:val="NormalCharacter"/>
                <w:rFonts w:ascii="宋体" w:hAnsi="宋体"/>
                <w:sz w:val="24"/>
              </w:rPr>
              <w:t>9</w:t>
            </w:r>
            <w:r w:rsidR="006D53A0">
              <w:rPr>
                <w:rStyle w:val="NormalCharacter"/>
                <w:rFonts w:ascii="宋体" w:hAnsi="宋体"/>
                <w:sz w:val="24"/>
              </w:rPr>
              <w:t>万元</w:t>
            </w:r>
            <w:r w:rsidR="003C2806">
              <w:rPr>
                <w:rStyle w:val="NormalCharacter"/>
                <w:rFonts w:ascii="宋体" w:hAnsi="宋体"/>
                <w:sz w:val="24"/>
              </w:rPr>
              <w:t>人民币</w:t>
            </w:r>
          </w:p>
        </w:tc>
        <w:tc>
          <w:tcPr>
            <w:tcW w:w="15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18D3" w:rsidRDefault="00F96BF6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设备数量</w:t>
            </w:r>
          </w:p>
        </w:tc>
        <w:tc>
          <w:tcPr>
            <w:tcW w:w="149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E74375" w:rsidP="004B5E99">
            <w:pPr>
              <w:snapToGrid w:val="0"/>
              <w:jc w:val="center"/>
              <w:rPr>
                <w:rStyle w:val="NormalCharacter"/>
                <w:rFonts w:ascii="楷体_GB2312" w:eastAsia="等线"/>
                <w:sz w:val="24"/>
              </w:rPr>
            </w:pPr>
            <w:r>
              <w:rPr>
                <w:rStyle w:val="NormalCharacter"/>
                <w:rFonts w:ascii="楷体_GB2312" w:eastAsia="等线"/>
                <w:sz w:val="24"/>
              </w:rPr>
              <w:t>1</w:t>
            </w:r>
            <w:r>
              <w:rPr>
                <w:rStyle w:val="NormalCharacter"/>
                <w:rFonts w:ascii="楷体_GB2312" w:eastAsia="等线"/>
                <w:sz w:val="24"/>
              </w:rPr>
              <w:t>台</w:t>
            </w:r>
          </w:p>
        </w:tc>
      </w:tr>
      <w:tr w:rsidR="006318D3" w:rsidTr="004B5E99">
        <w:trPr>
          <w:trHeight w:val="436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经费来源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A55877" w:rsidP="004B5E99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医院医疗成本</w:t>
            </w:r>
          </w:p>
        </w:tc>
        <w:tc>
          <w:tcPr>
            <w:tcW w:w="308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176D9F" w:rsidP="00350D21">
            <w:pPr>
              <w:snapToGrid w:val="0"/>
              <w:ind w:left="360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 w:hAnsi="黑体"/>
                <w:sz w:val="24"/>
              </w:rPr>
              <w:t xml:space="preserve">□国产    </w:t>
            </w:r>
            <w:r w:rsidR="00350D21">
              <w:rPr>
                <w:rStyle w:val="NormalCharacter"/>
                <w:rFonts w:ascii="黑体" w:eastAsia="黑体" w:hAnsi="黑体"/>
                <w:sz w:val="24"/>
              </w:rPr>
              <w:sym w:font="Wingdings" w:char="F0FE"/>
            </w:r>
            <w:r w:rsidR="00997053" w:rsidRPr="00C37267">
              <w:rPr>
                <w:rStyle w:val="NormalCharacter"/>
                <w:rFonts w:ascii="黑体" w:eastAsia="黑体"/>
                <w:sz w:val="24"/>
              </w:rPr>
              <w:t>进口</w:t>
            </w:r>
            <w:r>
              <w:rPr>
                <w:rStyle w:val="NormalCharacter"/>
                <w:rFonts w:ascii="黑体" w:eastAsia="黑体"/>
                <w:sz w:val="24"/>
              </w:rPr>
              <w:t xml:space="preserve">  </w:t>
            </w:r>
          </w:p>
        </w:tc>
      </w:tr>
      <w:tr w:rsidR="006318D3" w:rsidTr="004B5E99">
        <w:trPr>
          <w:trHeight w:val="436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办公电话/手机</w:t>
            </w:r>
          </w:p>
        </w:tc>
        <w:tc>
          <w:tcPr>
            <w:tcW w:w="370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6318D3" w:rsidTr="004B5E99">
        <w:trPr>
          <w:trHeight w:val="52"/>
          <w:jc w:val="center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rPr>
                <w:rStyle w:val="NormalCharacter"/>
              </w:rPr>
            </w:pPr>
          </w:p>
        </w:tc>
      </w:tr>
      <w:tr w:rsidR="006318D3" w:rsidTr="004B5E99">
        <w:trPr>
          <w:trHeight w:val="259"/>
          <w:jc w:val="center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6318D3" w:rsidTr="004B5E99">
        <w:trPr>
          <w:trHeight w:val="349"/>
          <w:jc w:val="center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6318D3">
        <w:trPr>
          <w:gridAfter w:val="1"/>
          <w:wAfter w:w="49" w:type="dxa"/>
          <w:jc w:val="center"/>
        </w:trPr>
        <w:tc>
          <w:tcPr>
            <w:tcW w:w="9804" w:type="dxa"/>
            <w:gridSpan w:val="13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 w:rsidR="006318D3" w:rsidTr="004B5E99">
        <w:trPr>
          <w:gridAfter w:val="1"/>
          <w:wAfter w:w="49" w:type="dxa"/>
          <w:trHeight w:val="526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AD2CB7" w:rsidP="004B5E99">
            <w:pPr>
              <w:snapToGrid w:val="0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在昏迷.脑死亡监护中的应用:脑死亡诊断的客观指标之一.</w:t>
            </w:r>
          </w:p>
        </w:tc>
      </w:tr>
      <w:tr w:rsidR="006318D3">
        <w:trPr>
          <w:gridAfter w:val="1"/>
          <w:wAfter w:w="49" w:type="dxa"/>
          <w:trHeight w:val="431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 w:rsidR="006318D3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CA7EAB" w:rsidP="004B5E9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CA7EAB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AD2CB7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计算机系统，含鼠标键盘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AD2CB7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1台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B5A07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AD2CB7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TCD检查软件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AD2CB7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1套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B5A07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AD2CB7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脑血流监测软件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AD2CB7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1套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微栓子监测软件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1套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发泡试验软件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1套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2MHZ脉冲手持探头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1个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4MHZ脉冲手持探头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1个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2MHZ监护探头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1对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监护头架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1套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多功能TCD遥控器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1个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彩色打印机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1台</w:t>
            </w:r>
          </w:p>
        </w:tc>
      </w:tr>
      <w:tr w:rsidR="006318D3" w:rsidTr="004B5E99">
        <w:trPr>
          <w:gridAfter w:val="1"/>
          <w:wAfter w:w="49" w:type="dxa"/>
          <w:trHeight w:val="312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专用仪器车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1台</w:t>
            </w:r>
          </w:p>
        </w:tc>
      </w:tr>
      <w:tr w:rsidR="006318D3">
        <w:trPr>
          <w:gridAfter w:val="1"/>
          <w:wAfter w:w="49" w:type="dxa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技术参数要求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序号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指标名称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技术参数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品牌计算机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I5处理器，硬盘≥1000G，内存≥4G；Windows 8或Windows 10操作系统；</w:t>
            </w:r>
          </w:p>
        </w:tc>
      </w:tr>
      <w:tr w:rsidR="006318D3" w:rsidTr="004B5E99">
        <w:trPr>
          <w:gridAfter w:val="1"/>
          <w:wAfter w:w="49" w:type="dxa"/>
          <w:trHeight w:val="37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★2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血流速度检测范围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2-1200cm/s（提供药监局检测报告）</w:t>
            </w:r>
          </w:p>
        </w:tc>
      </w:tr>
      <w:tr w:rsidR="006318D3" w:rsidTr="004B5E99">
        <w:trPr>
          <w:gridAfter w:val="1"/>
          <w:wAfter w:w="49" w:type="dxa"/>
          <w:trHeight w:val="37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可调节过滤范围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50-2000Hz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取样容积调节范围（脉冲波）：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1,2MHZ:1-20mm；,4,8MHZ:1-15mm；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取样容积调节步长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1,2,4,8MHZ:1mm;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穿透深度调节范围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1,2MHZ:≥150mm;4MHZ: ≥85mm;8MHZ≥35mm;16MHZ: ≥5mm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8F63E5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b/>
                <w:szCs w:val="21"/>
              </w:rPr>
              <w:t>＃</w:t>
            </w:r>
            <w:r w:rsidR="0090568F"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可配备独立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1M、2M、4M、8M和16M探头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★8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高分辨率M模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8000门深（提供中英文技术白皮书）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lastRenderedPageBreak/>
              <w:t>★9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能量范围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要求最高可达7</w:t>
            </w:r>
            <w:r w:rsidR="008F63E5"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18</w:t>
            </w: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mw/cm2（提供药监局检测报告）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8F63E5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b/>
                <w:szCs w:val="21"/>
              </w:rPr>
              <w:t>＃</w:t>
            </w:r>
            <w:r w:rsidR="0090568F"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多功能遥控键盘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具备光电鼠标功能；（提供图片证明）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★11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IWM血红细胞数量评估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proofErr w:type="spell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IWMmax</w:t>
            </w:r>
            <w:proofErr w:type="spell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、</w:t>
            </w:r>
            <w:proofErr w:type="spell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IWMmean</w:t>
            </w:r>
            <w:proofErr w:type="spell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和</w:t>
            </w:r>
            <w:proofErr w:type="spell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IWMmin</w:t>
            </w:r>
            <w:proofErr w:type="spell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三种（要求提供软件截图证明）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12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探头能量限制功能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要求探头工作时能够自动限制发射功率，保护探头和患者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包络线有无不影响参数计算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去掉包络线后，仍可自动计算流速</w:t>
            </w:r>
          </w:p>
        </w:tc>
      </w:tr>
      <w:tr w:rsidR="006318D3" w:rsidTr="004B5E99">
        <w:trPr>
          <w:gridAfter w:val="1"/>
          <w:wAfter w:w="49" w:type="dxa"/>
          <w:trHeight w:val="40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单</w:t>
            </w:r>
            <w:proofErr w:type="gram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通道八</w:t>
            </w:r>
            <w:proofErr w:type="gram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深度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单通道模式下，可同时显示八个不同深度的频谱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15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proofErr w:type="spell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Lindegaard</w:t>
            </w:r>
            <w:proofErr w:type="spell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 xml:space="preserve"> 指数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用于血管痉挛评估，软件可自动生成</w:t>
            </w:r>
            <w:proofErr w:type="spell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Lindegaard</w:t>
            </w:r>
            <w:proofErr w:type="spell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 xml:space="preserve"> 指数，并可自动导入报告中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8F63E5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b/>
                <w:szCs w:val="21"/>
              </w:rPr>
              <w:t>＃</w:t>
            </w:r>
            <w:r w:rsidR="0090568F"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16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患者随访趋势图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90568F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可将患者不同日期的血流值做成趋势图，观察治疗效果和病情进展（提供软件截图）</w:t>
            </w:r>
          </w:p>
        </w:tc>
      </w:tr>
      <w:tr w:rsidR="006318D3" w:rsidTr="004B5E99">
        <w:trPr>
          <w:gridAfter w:val="1"/>
          <w:wAfter w:w="49" w:type="dxa"/>
          <w:trHeight w:val="43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17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脑死亡血</w:t>
            </w:r>
            <w:proofErr w:type="gram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流指数</w:t>
            </w:r>
            <w:proofErr w:type="gramEnd"/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通过软件测量，快速评估脑死亡。（提供软件截图）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8F63E5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b/>
                <w:szCs w:val="21"/>
              </w:rPr>
              <w:t>＃</w:t>
            </w:r>
            <w:r w:rsidR="002F196A"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自动增益功能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增益随着血流信号强弱变化而变化，无需调整增益，自动显示清晰频谱；（提供软件截图）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★19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最高流速频谱自动标记功能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多频谱存储后，软件自动标记其中</w:t>
            </w:r>
            <w:proofErr w:type="gram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最高血</w:t>
            </w:r>
            <w:proofErr w:type="gramEnd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流速度的频谱。（提供软件截图）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★20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踝</w:t>
            </w:r>
            <w:proofErr w:type="gramStart"/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肱指数</w:t>
            </w:r>
            <w:proofErr w:type="gramEnd"/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可检测ABI踝肱指数，用于检测肢体血管狭窄、闭塞性疾病筛查，软件自动计算，并具有专有报告模式。（提供软件截图）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21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szCs w:val="21"/>
              </w:rPr>
              <w:t>脑血流自动调节监护软件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color w:val="000000"/>
                <w:szCs w:val="21"/>
              </w:rPr>
              <w:t>双通道血流监护软件，连续记录监测血流频谱信号；双通道数字化连续M模监护；包络线和趋势图的同时长程监测；事件标记功能，</w:t>
            </w: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★22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栓子检测功能：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双通道栓子检测软件，可用于栓子监测和发泡试验,要求具备纺锤波、放大M模和放大频谱三种栓子分析功能</w:t>
            </w:r>
          </w:p>
        </w:tc>
      </w:tr>
      <w:tr w:rsidR="006318D3" w:rsidTr="004B5E99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8F63E5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b/>
                <w:szCs w:val="21"/>
              </w:rPr>
              <w:t>＃</w:t>
            </w:r>
            <w:r w:rsidR="002F196A"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发泡试验（PFO）软件功能：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Pr="004B5E99" w:rsidRDefault="002F196A" w:rsidP="004B5E99">
            <w:pPr>
              <w:snapToGrid w:val="0"/>
              <w:jc w:val="left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4B5E99">
              <w:rPr>
                <w:rStyle w:val="NormalCharacter"/>
                <w:rFonts w:asciiTheme="majorEastAsia" w:eastAsiaTheme="majorEastAsia" w:hAnsiTheme="majorEastAsia"/>
                <w:szCs w:val="21"/>
              </w:rPr>
              <w:t>具备初始栓子潜伏期，栓子计数，栓子计数时间可自定；栓子计数从注射发泡剂或第一个栓子出现开始计数可选；后期可重新更改栓子计数时间，栓子数量即时更新。</w:t>
            </w:r>
          </w:p>
        </w:tc>
      </w:tr>
      <w:tr w:rsidR="006318D3" w:rsidTr="004B5E99">
        <w:trPr>
          <w:gridAfter w:val="1"/>
          <w:wAfter w:w="49" w:type="dxa"/>
          <w:trHeight w:hRule="exact" w:val="493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416045">
              <w:rPr>
                <w:rStyle w:val="NormalCharacter"/>
                <w:rFonts w:hAnsi="宋体"/>
                <w:sz w:val="24"/>
                <w:szCs w:val="28"/>
              </w:rPr>
              <w:t>质保期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  <w:r>
              <w:rPr>
                <w:rStyle w:val="NormalCharacter"/>
                <w:sz w:val="24"/>
              </w:rPr>
              <w:t>年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416045">
              <w:rPr>
                <w:rStyle w:val="NormalCharacter"/>
                <w:rFonts w:hAnsi="宋体"/>
                <w:sz w:val="24"/>
                <w:szCs w:val="28"/>
              </w:rPr>
              <w:t>备件库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Ansi="宋体"/>
                <w:szCs w:val="21"/>
              </w:rPr>
              <w:t>西安有备件库，国内有</w:t>
            </w:r>
            <w:r w:rsidRPr="00416045">
              <w:rPr>
                <w:rStyle w:val="NormalCharacter"/>
                <w:rFonts w:hAnsi="宋体"/>
                <w:szCs w:val="21"/>
              </w:rPr>
              <w:t>备件库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416045">
              <w:rPr>
                <w:rStyle w:val="NormalCharacter"/>
                <w:rFonts w:hAnsi="宋体"/>
                <w:sz w:val="24"/>
                <w:szCs w:val="28"/>
              </w:rPr>
              <w:t>维修站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Ansi="宋体"/>
                <w:szCs w:val="21"/>
              </w:rPr>
              <w:t>西安有维修站，国内有</w:t>
            </w:r>
            <w:r w:rsidRPr="00416045">
              <w:rPr>
                <w:rStyle w:val="NormalCharacter"/>
                <w:rFonts w:hAnsi="宋体"/>
                <w:szCs w:val="21"/>
              </w:rPr>
              <w:t>维修站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416045">
              <w:rPr>
                <w:rStyle w:val="NormalCharacter"/>
                <w:rFonts w:hAnsi="宋体"/>
                <w:sz w:val="24"/>
                <w:szCs w:val="28"/>
              </w:rPr>
              <w:t>收费标准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szCs w:val="21"/>
              </w:rPr>
            </w:pPr>
            <w:r w:rsidRPr="00416045">
              <w:rPr>
                <w:rStyle w:val="NormalCharacter"/>
                <w:rFonts w:hAnsi="宋体"/>
                <w:szCs w:val="21"/>
              </w:rPr>
              <w:t>质保期</w:t>
            </w:r>
            <w:r>
              <w:rPr>
                <w:rStyle w:val="NormalCharacter"/>
                <w:rFonts w:hAnsi="宋体"/>
                <w:szCs w:val="21"/>
              </w:rPr>
              <w:t>后维修只收取设备成本价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A36610">
              <w:rPr>
                <w:rStyle w:val="NormalCharacter"/>
                <w:rFonts w:hAnsi="宋体"/>
                <w:sz w:val="24"/>
                <w:szCs w:val="28"/>
              </w:rPr>
              <w:t>培训支持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bCs/>
                <w:color w:val="000000"/>
                <w:szCs w:val="21"/>
              </w:rPr>
            </w:pPr>
            <w:r w:rsidRPr="00A36610">
              <w:rPr>
                <w:rStyle w:val="NormalCharacter"/>
                <w:rFonts w:hAnsi="宋体"/>
                <w:bCs/>
                <w:color w:val="000000"/>
                <w:szCs w:val="21"/>
              </w:rPr>
              <w:t>现场培训</w:t>
            </w:r>
            <w:r w:rsidRPr="00A36610">
              <w:rPr>
                <w:rStyle w:val="NormalCharacter"/>
                <w:rFonts w:hAnsi="宋体"/>
                <w:bCs/>
                <w:color w:val="000000"/>
                <w:szCs w:val="21"/>
              </w:rPr>
              <w:t>2</w:t>
            </w:r>
            <w:r w:rsidRPr="00A36610">
              <w:rPr>
                <w:rStyle w:val="NormalCharacter"/>
                <w:rFonts w:hAnsi="宋体"/>
                <w:bCs/>
                <w:color w:val="000000"/>
                <w:szCs w:val="21"/>
              </w:rPr>
              <w:t>名操作医生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416045">
              <w:rPr>
                <w:rStyle w:val="NormalCharacter"/>
                <w:rFonts w:hAnsi="宋体"/>
                <w:sz w:val="24"/>
                <w:szCs w:val="28"/>
              </w:rPr>
              <w:t>维修响应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Ansi="宋体"/>
                <w:szCs w:val="21"/>
              </w:rPr>
              <w:t>2</w:t>
            </w:r>
            <w:r>
              <w:rPr>
                <w:rStyle w:val="NormalCharacter"/>
                <w:rFonts w:hAnsi="宋体"/>
                <w:szCs w:val="21"/>
              </w:rPr>
              <w:t>小时内响应，</w:t>
            </w:r>
            <w:r>
              <w:rPr>
                <w:rStyle w:val="NormalCharacter"/>
                <w:rFonts w:hAnsi="宋体"/>
                <w:szCs w:val="21"/>
              </w:rPr>
              <w:t>24</w:t>
            </w:r>
            <w:r>
              <w:rPr>
                <w:rStyle w:val="NormalCharacter"/>
                <w:rFonts w:hAnsi="宋体"/>
                <w:szCs w:val="21"/>
              </w:rPr>
              <w:t>小时内到达现场</w:t>
            </w:r>
          </w:p>
        </w:tc>
      </w:tr>
      <w:tr w:rsidR="006318D3" w:rsidTr="004B5E99">
        <w:trPr>
          <w:gridAfter w:val="1"/>
          <w:wAfter w:w="49" w:type="dxa"/>
          <w:trHeight w:val="3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</w:rPr>
            </w:pPr>
            <w:r w:rsidRPr="00416045">
              <w:rPr>
                <w:rStyle w:val="NormalCharacter"/>
                <w:sz w:val="24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 w:rsidRPr="00416045">
              <w:rPr>
                <w:rStyle w:val="NormalCharacter"/>
                <w:rFonts w:hAnsi="宋体"/>
                <w:sz w:val="24"/>
                <w:szCs w:val="28"/>
              </w:rPr>
              <w:t>到货时间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color w:val="000000"/>
                <w:szCs w:val="21"/>
              </w:rPr>
            </w:pPr>
            <w:r w:rsidRPr="00A36610">
              <w:rPr>
                <w:rStyle w:val="NormalCharacter"/>
                <w:rFonts w:hAnsi="宋体"/>
                <w:b/>
                <w:color w:val="000000"/>
                <w:szCs w:val="21"/>
              </w:rPr>
              <w:t>60</w:t>
            </w:r>
            <w:r w:rsidRPr="00A36610">
              <w:rPr>
                <w:rStyle w:val="NormalCharacter"/>
                <w:rFonts w:hAnsi="宋体"/>
                <w:b/>
                <w:color w:val="000000"/>
                <w:szCs w:val="21"/>
              </w:rPr>
              <w:t>个工作日</w:t>
            </w:r>
          </w:p>
        </w:tc>
      </w:tr>
      <w:tr w:rsidR="006318D3">
        <w:trPr>
          <w:gridAfter w:val="1"/>
          <w:wAfter w:w="49" w:type="dxa"/>
          <w:trHeight w:hRule="exact" w:val="74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99" w:rsidRDefault="002F196A" w:rsidP="004B5E99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需求科室</w:t>
            </w:r>
          </w:p>
          <w:p w:rsidR="006318D3" w:rsidRDefault="002F196A" w:rsidP="004B5E99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签字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机关业务部门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318D3" w:rsidTr="004B5E99">
        <w:trPr>
          <w:gridAfter w:val="1"/>
          <w:wAfter w:w="49" w:type="dxa"/>
          <w:trHeight w:hRule="exact" w:val="156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2F196A" w:rsidP="004B5E99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178E9">
              <w:rPr>
                <w:rStyle w:val="NormalCharacter"/>
                <w:rFonts w:ascii="仿宋" w:eastAsia="仿宋" w:hAnsi="仿宋"/>
                <w:sz w:val="24"/>
              </w:rPr>
              <w:t>专家组</w:t>
            </w:r>
          </w:p>
        </w:tc>
        <w:tc>
          <w:tcPr>
            <w:tcW w:w="85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D3" w:rsidRDefault="006318D3" w:rsidP="004B5E99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6318D3" w:rsidRDefault="004E315C" w:rsidP="004B5E99">
      <w:pPr>
        <w:snapToGrid w:val="0"/>
        <w:ind w:left="720" w:hanging="720"/>
        <w:rPr>
          <w:rStyle w:val="NormalCharacter"/>
          <w:rFonts w:ascii="仿宋_GB2312" w:eastAsia="仿宋_GB2312"/>
          <w:sz w:val="24"/>
        </w:rPr>
      </w:pPr>
      <w:r w:rsidRPr="00FF5303">
        <w:rPr>
          <w:rStyle w:val="NormalCharacter"/>
          <w:rFonts w:ascii="仿宋_GB2312" w:eastAsia="仿宋_GB2312"/>
          <w:sz w:val="24"/>
        </w:rPr>
        <w:t>说明: 功能要求、配置清单为必备要求，从功能角度提出；技术参数</w:t>
      </w:r>
      <w:r>
        <w:rPr>
          <w:rStyle w:val="NormalCharacter"/>
          <w:rFonts w:ascii="仿宋_GB2312" w:eastAsia="仿宋_GB2312"/>
          <w:sz w:val="24"/>
        </w:rPr>
        <w:t>应体现设备档次要求，参数中区分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、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参数，其中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参数为核心参数，为必须满足参数；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参数为重要参数，在采购评审中分值较高。</w:t>
      </w:r>
      <w:r w:rsidR="00EE4DA0">
        <w:rPr>
          <w:rStyle w:val="NormalCharacter"/>
          <w:rFonts w:ascii="仿宋_GB2312" w:eastAsia="仿宋_GB2312"/>
          <w:sz w:val="24"/>
        </w:rPr>
        <w:t>售后服务要求尽量填写，没有要求的可不填。</w:t>
      </w:r>
    </w:p>
    <w:sectPr w:rsidR="006318D3" w:rsidSect="00350D21">
      <w:footerReference w:type="default" r:id="rId8"/>
      <w:footerReference w:type="first" r:id="rId9"/>
      <w:pgSz w:w="11907" w:h="16840"/>
      <w:pgMar w:top="1135" w:right="1418" w:bottom="284" w:left="1418" w:header="851" w:footer="283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4C" w:rsidRDefault="00D6384C" w:rsidP="004B5E99">
      <w:r>
        <w:separator/>
      </w:r>
    </w:p>
  </w:endnote>
  <w:endnote w:type="continuationSeparator" w:id="0">
    <w:p w:rsidR="00D6384C" w:rsidRDefault="00D6384C" w:rsidP="004B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032350"/>
      <w:docPartObj>
        <w:docPartGallery w:val="Page Numbers (Bottom of Page)"/>
        <w:docPartUnique/>
      </w:docPartObj>
    </w:sdtPr>
    <w:sdtEndPr/>
    <w:sdtContent>
      <w:p w:rsidR="004B5E99" w:rsidRDefault="00D638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AB" w:rsidRPr="00C470A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B5E99" w:rsidRDefault="004B5E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99" w:rsidRDefault="004B5E99" w:rsidP="004B5E99">
    <w:pPr>
      <w:pStyle w:val="a6"/>
      <w:jc w:val="right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4C" w:rsidRDefault="00D6384C" w:rsidP="004B5E99">
      <w:r>
        <w:separator/>
      </w:r>
    </w:p>
  </w:footnote>
  <w:footnote w:type="continuationSeparator" w:id="0">
    <w:p w:rsidR="00D6384C" w:rsidRDefault="00D6384C" w:rsidP="004B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05F"/>
    <w:multiLevelType w:val="hybridMultilevel"/>
    <w:tmpl w:val="F8A453C0"/>
    <w:lvl w:ilvl="0" w:tplc="1BA4ED70">
      <w:start w:val="1"/>
      <w:numFmt w:val="bullet"/>
      <w:lvlText w:val="□"/>
      <w:lvlJc w:val="left"/>
      <w:pPr>
        <w:widowControl/>
        <w:ind w:left="360" w:hanging="360"/>
        <w:textAlignment w:val="baseline"/>
      </w:pPr>
      <w:rPr>
        <w:rFonts w:ascii="仿宋_GB2312" w:eastAsia="仿宋_GB2312" w:hAnsi="Times New Roman"/>
      </w:rPr>
    </w:lvl>
    <w:lvl w:ilvl="1" w:tplc="9942F25E">
      <w:start w:val="1"/>
      <w:numFmt w:val="bullet"/>
      <w:lvlText w:val=""/>
      <w:lvlJc w:val="left"/>
      <w:pPr>
        <w:widowControl/>
        <w:ind w:left="840" w:hanging="420"/>
        <w:textAlignment w:val="baseline"/>
      </w:pPr>
      <w:rPr>
        <w:rFonts w:ascii="Wingdings" w:hAnsi="Wingdings"/>
      </w:rPr>
    </w:lvl>
    <w:lvl w:ilvl="2" w:tplc="854ADE34">
      <w:start w:val="1"/>
      <w:numFmt w:val="bullet"/>
      <w:lvlText w:val=""/>
      <w:lvlJc w:val="left"/>
      <w:pPr>
        <w:widowControl/>
        <w:ind w:left="1260" w:hanging="420"/>
        <w:textAlignment w:val="baseline"/>
      </w:pPr>
      <w:rPr>
        <w:rFonts w:ascii="Wingdings" w:hAnsi="Wingdings"/>
      </w:rPr>
    </w:lvl>
    <w:lvl w:ilvl="3" w:tplc="EBF602AE">
      <w:start w:val="1"/>
      <w:numFmt w:val="bullet"/>
      <w:lvlText w:val=""/>
      <w:lvlJc w:val="left"/>
      <w:pPr>
        <w:widowControl/>
        <w:ind w:left="1680" w:hanging="420"/>
        <w:textAlignment w:val="baseline"/>
      </w:pPr>
      <w:rPr>
        <w:rFonts w:ascii="Wingdings" w:hAnsi="Wingdings"/>
      </w:rPr>
    </w:lvl>
    <w:lvl w:ilvl="4" w:tplc="2296450E">
      <w:start w:val="1"/>
      <w:numFmt w:val="bullet"/>
      <w:lvlText w:val=""/>
      <w:lvlJc w:val="left"/>
      <w:pPr>
        <w:widowControl/>
        <w:ind w:left="2100" w:hanging="420"/>
        <w:textAlignment w:val="baseline"/>
      </w:pPr>
      <w:rPr>
        <w:rFonts w:ascii="Wingdings" w:hAnsi="Wingdings"/>
      </w:rPr>
    </w:lvl>
    <w:lvl w:ilvl="5" w:tplc="912A7F86">
      <w:start w:val="1"/>
      <w:numFmt w:val="bullet"/>
      <w:lvlText w:val=""/>
      <w:lvlJc w:val="left"/>
      <w:pPr>
        <w:widowControl/>
        <w:ind w:left="2520" w:hanging="420"/>
        <w:textAlignment w:val="baseline"/>
      </w:pPr>
      <w:rPr>
        <w:rFonts w:ascii="Wingdings" w:hAnsi="Wingdings"/>
      </w:rPr>
    </w:lvl>
    <w:lvl w:ilvl="6" w:tplc="C100B7CE">
      <w:start w:val="1"/>
      <w:numFmt w:val="bullet"/>
      <w:lvlText w:val=""/>
      <w:lvlJc w:val="left"/>
      <w:pPr>
        <w:widowControl/>
        <w:ind w:left="2940" w:hanging="420"/>
        <w:textAlignment w:val="baseline"/>
      </w:pPr>
      <w:rPr>
        <w:rFonts w:ascii="Wingdings" w:hAnsi="Wingdings"/>
      </w:rPr>
    </w:lvl>
    <w:lvl w:ilvl="7" w:tplc="FCE4664E">
      <w:start w:val="1"/>
      <w:numFmt w:val="bullet"/>
      <w:lvlText w:val=""/>
      <w:lvlJc w:val="left"/>
      <w:pPr>
        <w:widowControl/>
        <w:ind w:left="3360" w:hanging="420"/>
        <w:textAlignment w:val="baseline"/>
      </w:pPr>
      <w:rPr>
        <w:rFonts w:ascii="Wingdings" w:hAnsi="Wingdings"/>
      </w:rPr>
    </w:lvl>
    <w:lvl w:ilvl="8" w:tplc="56625178">
      <w:start w:val="1"/>
      <w:numFmt w:val="bullet"/>
      <w:lvlText w:val=""/>
      <w:lvlJc w:val="left"/>
      <w:pPr>
        <w:widowControl/>
        <w:ind w:left="3780" w:hanging="420"/>
        <w:textAlignment w:val="baseline"/>
      </w:pPr>
      <w:rPr>
        <w:rFonts w:ascii="Wingdings" w:hAnsi="Wingdings"/>
      </w:rPr>
    </w:lvl>
  </w:abstractNum>
  <w:abstractNum w:abstractNumId="1">
    <w:nsid w:val="7D0A2C29"/>
    <w:multiLevelType w:val="multilevel"/>
    <w:tmpl w:val="7D0A2C29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318D3"/>
    <w:rsid w:val="0012748F"/>
    <w:rsid w:val="0013305D"/>
    <w:rsid w:val="00176D9F"/>
    <w:rsid w:val="002B6BB3"/>
    <w:rsid w:val="002F196A"/>
    <w:rsid w:val="00331DAB"/>
    <w:rsid w:val="00350D21"/>
    <w:rsid w:val="003C2806"/>
    <w:rsid w:val="00404FD6"/>
    <w:rsid w:val="00416045"/>
    <w:rsid w:val="00482212"/>
    <w:rsid w:val="004B5E99"/>
    <w:rsid w:val="004E315C"/>
    <w:rsid w:val="006318D3"/>
    <w:rsid w:val="006D53A0"/>
    <w:rsid w:val="007060A0"/>
    <w:rsid w:val="008E6F31"/>
    <w:rsid w:val="008F63E5"/>
    <w:rsid w:val="0090568F"/>
    <w:rsid w:val="00997053"/>
    <w:rsid w:val="009B5A07"/>
    <w:rsid w:val="00A36610"/>
    <w:rsid w:val="00A55877"/>
    <w:rsid w:val="00AD2CB7"/>
    <w:rsid w:val="00C37267"/>
    <w:rsid w:val="00C470AB"/>
    <w:rsid w:val="00CA7EAB"/>
    <w:rsid w:val="00D178E9"/>
    <w:rsid w:val="00D20758"/>
    <w:rsid w:val="00D6384C"/>
    <w:rsid w:val="00D93BAB"/>
    <w:rsid w:val="00DC7CE1"/>
    <w:rsid w:val="00E74375"/>
    <w:rsid w:val="00EE4DA0"/>
    <w:rsid w:val="00F96BF6"/>
    <w:rsid w:val="00FD0A13"/>
    <w:rsid w:val="00FD448E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8D3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318D3"/>
  </w:style>
  <w:style w:type="table" w:customStyle="1" w:styleId="TableNormal">
    <w:name w:val="TableNormal"/>
    <w:semiHidden/>
    <w:rsid w:val="006318D3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6318D3"/>
  </w:style>
  <w:style w:type="character" w:customStyle="1" w:styleId="PageNumber">
    <w:name w:val="PageNumber"/>
    <w:basedOn w:val="NormalCharacter"/>
    <w:rsid w:val="006318D3"/>
  </w:style>
  <w:style w:type="character" w:styleId="a3">
    <w:name w:val="Hyperlink"/>
    <w:rsid w:val="006318D3"/>
    <w:rPr>
      <w:color w:val="0000FF"/>
      <w:u w:val="single"/>
    </w:rPr>
  </w:style>
  <w:style w:type="paragraph" w:styleId="a4">
    <w:name w:val="Date"/>
    <w:basedOn w:val="a"/>
    <w:next w:val="a"/>
    <w:rsid w:val="006318D3"/>
    <w:pPr>
      <w:ind w:leftChars="2500" w:left="100"/>
    </w:pPr>
  </w:style>
  <w:style w:type="paragraph" w:customStyle="1" w:styleId="1">
    <w:name w:val="页眉1"/>
    <w:basedOn w:val="a"/>
    <w:rsid w:val="006318D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rsid w:val="00631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inText">
    <w:name w:val="PlainText"/>
    <w:basedOn w:val="a"/>
    <w:rsid w:val="006318D3"/>
    <w:rPr>
      <w:rFonts w:ascii="宋体" w:hAnsi="Courier New"/>
      <w:szCs w:val="21"/>
    </w:rPr>
  </w:style>
  <w:style w:type="paragraph" w:customStyle="1" w:styleId="UserStyle0">
    <w:name w:val="UserStyle_0"/>
    <w:basedOn w:val="PlainText"/>
    <w:rsid w:val="006318D3"/>
    <w:pPr>
      <w:spacing w:line="240" w:lineRule="atLeast"/>
    </w:pPr>
    <w:rPr>
      <w:sz w:val="28"/>
      <w:szCs w:val="24"/>
    </w:rPr>
  </w:style>
  <w:style w:type="table" w:customStyle="1" w:styleId="TableGrid">
    <w:name w:val="TableGrid"/>
    <w:basedOn w:val="TableNormal"/>
    <w:rsid w:val="006318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1"/>
    <w:rsid w:val="006318D3"/>
    <w:rPr>
      <w:rFonts w:ascii="宋体"/>
      <w:sz w:val="24"/>
    </w:rPr>
  </w:style>
  <w:style w:type="character" w:customStyle="1" w:styleId="UserStyle1">
    <w:name w:val="UserStyle_1"/>
    <w:link w:val="NavPane"/>
    <w:rsid w:val="006318D3"/>
    <w:rPr>
      <w:rFonts w:ascii="宋体"/>
      <w:kern w:val="2"/>
      <w:sz w:val="24"/>
      <w:szCs w:val="24"/>
    </w:rPr>
  </w:style>
  <w:style w:type="paragraph" w:customStyle="1" w:styleId="Acetate">
    <w:name w:val="Acetate"/>
    <w:basedOn w:val="a"/>
    <w:link w:val="UserStyle2"/>
    <w:rsid w:val="006318D3"/>
    <w:rPr>
      <w:sz w:val="18"/>
      <w:szCs w:val="18"/>
    </w:rPr>
  </w:style>
  <w:style w:type="character" w:customStyle="1" w:styleId="UserStyle2">
    <w:name w:val="UserStyle_2"/>
    <w:link w:val="Acetate"/>
    <w:rsid w:val="006318D3"/>
    <w:rPr>
      <w:kern w:val="2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4B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5E9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5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5E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</cp:lastModifiedBy>
  <cp:revision>6</cp:revision>
  <cp:lastPrinted>2021-09-02T08:49:00Z</cp:lastPrinted>
  <dcterms:created xsi:type="dcterms:W3CDTF">2021-09-01T04:41:00Z</dcterms:created>
  <dcterms:modified xsi:type="dcterms:W3CDTF">2021-11-04T03:31:00Z</dcterms:modified>
</cp:coreProperties>
</file>