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8" w:rsidRDefault="00E57809" w:rsidP="00493D1C">
      <w:pPr>
        <w:snapToGrid w:val="0"/>
        <w:jc w:val="center"/>
        <w:rPr>
          <w:rStyle w:val="NormalCharacter"/>
          <w:rFonts w:eastAsia="方正小标宋简体"/>
          <w:sz w:val="44"/>
          <w:szCs w:val="44"/>
        </w:rPr>
      </w:pPr>
      <w:r>
        <w:rPr>
          <w:rStyle w:val="NormalCharacter"/>
          <w:rFonts w:eastAsia="方正小标宋简体"/>
          <w:sz w:val="44"/>
          <w:szCs w:val="44"/>
        </w:rPr>
        <w:t>设备技术参数会审表</w:t>
      </w:r>
    </w:p>
    <w:p w:rsidR="00E12178" w:rsidRDefault="00E12178" w:rsidP="00493D1C">
      <w:pPr>
        <w:snapToGrid w:val="0"/>
        <w:ind w:left="-360"/>
        <w:jc w:val="center"/>
        <w:rPr>
          <w:rStyle w:val="NormalCharacter"/>
          <w:rFonts w:ascii="楷体_GB2312" w:eastAsia="楷体_GB2312"/>
          <w:b/>
          <w:sz w:val="24"/>
        </w:rPr>
      </w:pPr>
    </w:p>
    <w:p w:rsidR="00E12178" w:rsidRDefault="00E12178" w:rsidP="00921D1E">
      <w:pPr>
        <w:snapToGrid w:val="0"/>
        <w:ind w:leftChars="-171" w:left="-359" w:firstLineChars="98" w:firstLine="314"/>
        <w:rPr>
          <w:rStyle w:val="NormalCharacter"/>
          <w:rFonts w:ascii="黑体" w:eastAsia="黑体"/>
          <w:sz w:val="32"/>
          <w:szCs w:val="32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1334"/>
        <w:gridCol w:w="1246"/>
        <w:gridCol w:w="627"/>
        <w:gridCol w:w="195"/>
        <w:gridCol w:w="190"/>
        <w:gridCol w:w="801"/>
        <w:gridCol w:w="568"/>
        <w:gridCol w:w="1949"/>
      </w:tblGrid>
      <w:tr w:rsidR="00E12178" w:rsidTr="00493D1C">
        <w:trPr>
          <w:trHeight w:val="453"/>
          <w:jc w:val="center"/>
        </w:trPr>
        <w:tc>
          <w:tcPr>
            <w:tcW w:w="19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设备名称</w:t>
            </w:r>
          </w:p>
        </w:tc>
        <w:tc>
          <w:tcPr>
            <w:tcW w:w="43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Pr="00DF3391" w:rsidRDefault="00E57809" w:rsidP="00493D1C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DF3391">
              <w:rPr>
                <w:rStyle w:val="NormalCharacter"/>
                <w:rFonts w:asciiTheme="majorEastAsia" w:eastAsiaTheme="majorEastAsia" w:hAnsiTheme="majorEastAsia"/>
                <w:sz w:val="24"/>
              </w:rPr>
              <w:t>经颅磁刺激仪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计划号</w:t>
            </w:r>
          </w:p>
        </w:tc>
        <w:tc>
          <w:tcPr>
            <w:tcW w:w="19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</w:p>
        </w:tc>
      </w:tr>
      <w:tr w:rsidR="00E12178" w:rsidTr="00493D1C">
        <w:trPr>
          <w:trHeight w:val="453"/>
          <w:jc w:val="center"/>
        </w:trPr>
        <w:tc>
          <w:tcPr>
            <w:tcW w:w="19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预算金额</w:t>
            </w:r>
          </w:p>
        </w:tc>
        <w:tc>
          <w:tcPr>
            <w:tcW w:w="43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ind w:right="120"/>
              <w:jc w:val="center"/>
              <w:rPr>
                <w:rStyle w:val="NormalCharacter"/>
                <w:rFonts w:ascii="楷体_GB2312" w:eastAsia="等线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49万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元</w:t>
            </w:r>
            <w:r>
              <w:rPr>
                <w:rStyle w:val="NormalCharacter"/>
                <w:rFonts w:ascii="楷体_GB2312" w:eastAsia="楷体_GB2312"/>
                <w:sz w:val="24"/>
              </w:rPr>
              <w:t>人民币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设备数量</w:t>
            </w:r>
          </w:p>
        </w:tc>
        <w:tc>
          <w:tcPr>
            <w:tcW w:w="19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楷体_GB2312" w:eastAsia="等线"/>
                <w:sz w:val="24"/>
              </w:rPr>
            </w:pPr>
            <w:r>
              <w:rPr>
                <w:rStyle w:val="NormalCharacter"/>
                <w:rFonts w:ascii="楷体_GB2312" w:eastAsia="等线"/>
                <w:sz w:val="24"/>
              </w:rPr>
              <w:t>1</w:t>
            </w:r>
            <w:r>
              <w:rPr>
                <w:rStyle w:val="NormalCharacter"/>
                <w:rFonts w:ascii="楷体_GB2312" w:eastAsia="等线"/>
                <w:sz w:val="24"/>
              </w:rPr>
              <w:t>台</w:t>
            </w:r>
          </w:p>
        </w:tc>
      </w:tr>
      <w:tr w:rsidR="00E12178" w:rsidTr="00493D1C">
        <w:trPr>
          <w:trHeight w:val="453"/>
          <w:jc w:val="center"/>
        </w:trPr>
        <w:tc>
          <w:tcPr>
            <w:tcW w:w="19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经费来源</w:t>
            </w:r>
          </w:p>
        </w:tc>
        <w:tc>
          <w:tcPr>
            <w:tcW w:w="43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921D1E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 w:cs="Times New Roman"/>
                <w:bCs/>
                <w:sz w:val="24"/>
              </w:rPr>
              <w:t xml:space="preserve"> </w:t>
            </w:r>
          </w:p>
        </w:tc>
        <w:tc>
          <w:tcPr>
            <w:tcW w:w="350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DF3391" w:rsidP="00493D1C">
            <w:pPr>
              <w:snapToGrid w:val="0"/>
              <w:ind w:left="360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 w:hAnsi="黑体"/>
                <w:sz w:val="24"/>
              </w:rPr>
              <w:sym w:font="Wingdings" w:char="F0FE"/>
            </w:r>
            <w:r w:rsidR="00E57809">
              <w:rPr>
                <w:rStyle w:val="NormalCharacter"/>
                <w:rFonts w:ascii="黑体" w:eastAsia="黑体" w:hAnsi="黑体"/>
                <w:sz w:val="24"/>
              </w:rPr>
              <w:t>国产    □</w:t>
            </w:r>
            <w:r w:rsidR="00E57809">
              <w:rPr>
                <w:rStyle w:val="NormalCharacter"/>
                <w:rFonts w:ascii="黑体" w:eastAsia="黑体"/>
                <w:sz w:val="24"/>
              </w:rPr>
              <w:t xml:space="preserve">进口  </w:t>
            </w:r>
          </w:p>
        </w:tc>
      </w:tr>
      <w:tr w:rsidR="00E12178" w:rsidTr="00493D1C">
        <w:trPr>
          <w:trHeight w:val="453"/>
          <w:jc w:val="center"/>
        </w:trPr>
        <w:tc>
          <w:tcPr>
            <w:tcW w:w="19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联系人</w:t>
            </w:r>
          </w:p>
        </w:tc>
        <w:tc>
          <w:tcPr>
            <w:tcW w:w="23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办公电话/手机</w:t>
            </w:r>
          </w:p>
        </w:tc>
        <w:tc>
          <w:tcPr>
            <w:tcW w:w="3703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E12178" w:rsidTr="00493D1C">
        <w:trPr>
          <w:trHeight w:val="453"/>
          <w:jc w:val="center"/>
        </w:trPr>
        <w:tc>
          <w:tcPr>
            <w:tcW w:w="9853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jc w:val="center"/>
              <w:rPr>
                <w:rStyle w:val="NormalCharacter"/>
              </w:rPr>
            </w:pPr>
            <w:bookmarkStart w:id="0" w:name="_GoBack"/>
            <w:bookmarkEnd w:id="0"/>
          </w:p>
        </w:tc>
      </w:tr>
      <w:tr w:rsidR="00E12178" w:rsidTr="00493D1C">
        <w:trPr>
          <w:trHeight w:val="453"/>
          <w:jc w:val="center"/>
        </w:trPr>
        <w:tc>
          <w:tcPr>
            <w:tcW w:w="9853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jc w:val="center"/>
              <w:rPr>
                <w:rStyle w:val="NormalCharacter"/>
              </w:rPr>
            </w:pPr>
          </w:p>
        </w:tc>
      </w:tr>
      <w:tr w:rsidR="00E12178" w:rsidTr="00493D1C">
        <w:trPr>
          <w:trHeight w:val="453"/>
          <w:jc w:val="center"/>
        </w:trPr>
        <w:tc>
          <w:tcPr>
            <w:tcW w:w="9853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jc w:val="center"/>
              <w:rPr>
                <w:rStyle w:val="NormalCharacter"/>
              </w:rPr>
            </w:pPr>
          </w:p>
        </w:tc>
      </w:tr>
      <w:tr w:rsidR="00E12178">
        <w:trPr>
          <w:jc w:val="center"/>
        </w:trPr>
        <w:tc>
          <w:tcPr>
            <w:tcW w:w="9853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 w:rsidR="00E12178" w:rsidTr="00493D1C">
        <w:trPr>
          <w:trHeight w:val="612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ind w:firstLineChars="200" w:firstLine="48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刺激人体中枢神经和外周神经，用于人体中枢神经和外周神经功能的检测、评定、改善，对脑神经及神经损伤性疾病的辅助治疗。</w:t>
            </w:r>
          </w:p>
        </w:tc>
      </w:tr>
      <w:tr w:rsidR="00E12178">
        <w:trPr>
          <w:trHeight w:val="431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 w:rsidR="00E12178" w:rsidTr="00493D1C">
        <w:trPr>
          <w:trHeight w:val="43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1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磁刺激器主机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一台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2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刺激线圈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一副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惰性液态内循环冷却系统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一套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管理与控制系统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一套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</w:rPr>
            </w:pPr>
            <w:proofErr w:type="gramStart"/>
            <w:r>
              <w:rPr>
                <w:rStyle w:val="NormalCharacter"/>
                <w:rFonts w:ascii="仿宋" w:eastAsia="仿宋" w:hAnsi="仿宋"/>
                <w:sz w:val="24"/>
              </w:rPr>
              <w:t>一</w:t>
            </w:r>
            <w:proofErr w:type="gramEnd"/>
            <w:r>
              <w:rPr>
                <w:rStyle w:val="NormalCharacter"/>
                <w:rFonts w:ascii="仿宋" w:eastAsia="仿宋" w:hAnsi="仿宋"/>
                <w:sz w:val="24"/>
              </w:rPr>
              <w:t>体式线圈支架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一副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6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刺激定位帽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10个</w:t>
            </w:r>
          </w:p>
        </w:tc>
      </w:tr>
      <w:tr w:rsidR="00E12178" w:rsidTr="00493D1C">
        <w:trPr>
          <w:trHeight w:val="3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</w:rPr>
              <w:t>7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MEP模块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1套</w:t>
            </w:r>
          </w:p>
        </w:tc>
      </w:tr>
      <w:tr w:rsidR="00E12178">
        <w:trPr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  <w:t>技术参数要求</w:t>
            </w:r>
          </w:p>
        </w:tc>
      </w:tr>
      <w:tr w:rsidR="00E12178" w:rsidTr="00493D1C">
        <w:trPr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技术参数</w:t>
            </w:r>
          </w:p>
        </w:tc>
      </w:tr>
      <w:tr w:rsidR="00E12178" w:rsidTr="00493D1C">
        <w:trPr>
          <w:trHeight w:val="4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  <w:lang w:val="zh-CN"/>
              </w:rPr>
              <w:t>★产品适</w:t>
            </w:r>
            <w:r w:rsidRPr="00493D1C">
              <w:rPr>
                <w:rStyle w:val="NormalCharacter"/>
                <w:rFonts w:ascii="仿宋" w:eastAsia="仿宋" w:hAnsi="仿宋"/>
                <w:szCs w:val="21"/>
              </w:rPr>
              <w:t>用范围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刺激人体中枢神经和外周神经，用于人体中枢神经和外周神经功能的检测、评定、改善，对脑神经及神经损伤性疾病的辅助治疗。（以《医疗器械注册证》中产品适用范围为准）</w:t>
            </w:r>
          </w:p>
        </w:tc>
      </w:tr>
      <w:tr w:rsidR="00E12178" w:rsidTr="00493D1C">
        <w:trPr>
          <w:trHeight w:val="40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b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刺激频率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≧40HZ</w:t>
            </w:r>
          </w:p>
        </w:tc>
      </w:tr>
      <w:tr w:rsidR="00E12178" w:rsidTr="00493D1C">
        <w:trPr>
          <w:trHeight w:val="38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★冷却系统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惰性液态内循环冷却系统，非风冷（该设备的《医疗器械产品注册表》中应有相关说明或应提供国家医疗器械检测中心出具的《检测报告》加以证明）</w:t>
            </w:r>
          </w:p>
        </w:tc>
      </w:tr>
      <w:tr w:rsidR="00E12178" w:rsidTr="00493D1C">
        <w:trPr>
          <w:trHeight w:val="39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★刺激线圈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rFonts w:ascii="仿宋" w:eastAsia="仿宋" w:hAnsi="仿宋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能实现双面双向刺激。（应出具刺激线圈图样，线圈背部加装冷却系统的不具备此功能）</w:t>
            </w:r>
          </w:p>
          <w:p w:rsidR="00E12178" w:rsidRPr="00493D1C" w:rsidRDefault="00E57809" w:rsidP="00493D1C">
            <w:pPr>
              <w:snapToGrid w:val="0"/>
              <w:rPr>
                <w:rStyle w:val="UserStyle3"/>
                <w:rFonts w:ascii="仿宋" w:eastAsia="仿宋" w:hAnsi="仿宋"/>
                <w:sz w:val="21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刺激线圈可选配：</w:t>
            </w:r>
          </w:p>
          <w:p w:rsidR="00E12178" w:rsidRPr="00493D1C" w:rsidRDefault="00E57809" w:rsidP="00493D1C">
            <w:pPr>
              <w:snapToGrid w:val="0"/>
              <w:rPr>
                <w:rStyle w:val="UserStyle3"/>
                <w:rFonts w:ascii="仿宋" w:eastAsia="仿宋" w:hAnsi="仿宋"/>
                <w:sz w:val="21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a)8字形线圈拍、圆形线圈拍、动物线圈拍、枕形线圈拍；</w:t>
            </w:r>
          </w:p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b)近红外系统联用线圈拍（附图片）</w:t>
            </w:r>
          </w:p>
        </w:tc>
      </w:tr>
      <w:tr w:rsidR="00E12178" w:rsidTr="00493D1C">
        <w:trPr>
          <w:trHeight w:val="4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★单面最大刺激强度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≧5Tesla</w:t>
            </w:r>
          </w:p>
        </w:tc>
      </w:tr>
      <w:tr w:rsidR="00E12178" w:rsidTr="00493D1C">
        <w:trPr>
          <w:trHeight w:val="4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最大刺激强度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1.0-6Tesla连续可调</w:t>
            </w:r>
          </w:p>
        </w:tc>
      </w:tr>
      <w:tr w:rsidR="00E12178" w:rsidTr="00493D1C">
        <w:trPr>
          <w:trHeight w:val="4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磁感应强度最大变化率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30KT-70KT</w:t>
            </w:r>
          </w:p>
        </w:tc>
      </w:tr>
      <w:tr w:rsidR="00E12178" w:rsidTr="00493D1C">
        <w:trPr>
          <w:trHeight w:val="42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lastRenderedPageBreak/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脉冲上升时间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60μs±10μs</w:t>
            </w:r>
          </w:p>
        </w:tc>
      </w:tr>
      <w:tr w:rsidR="00E12178" w:rsidTr="00493D1C">
        <w:trPr>
          <w:trHeight w:val="46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#单个脉冲持续时间（脉冲宽度）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340μs±20μs</w:t>
            </w:r>
          </w:p>
        </w:tc>
      </w:tr>
      <w:tr w:rsidR="00E12178" w:rsidTr="00493D1C">
        <w:trPr>
          <w:trHeight w:val="44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left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电脑操作管理方式，能实现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rFonts w:ascii="仿宋" w:eastAsia="仿宋" w:hAnsi="仿宋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a)硬盘储存、USB储存；</w:t>
            </w:r>
          </w:p>
          <w:p w:rsidR="00E12178" w:rsidRPr="00493D1C" w:rsidRDefault="00E57809" w:rsidP="00493D1C">
            <w:pPr>
              <w:snapToGrid w:val="0"/>
              <w:rPr>
                <w:rStyle w:val="NormalCharacter"/>
                <w:rFonts w:ascii="仿宋" w:eastAsia="仿宋" w:hAnsi="仿宋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b)专家方案、病历管理、以及病历打印输出；</w:t>
            </w:r>
          </w:p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c)刺激模式图形（数字）仿真、温度显示与控制保护</w:t>
            </w:r>
          </w:p>
        </w:tc>
      </w:tr>
      <w:tr w:rsidR="00E12178" w:rsidTr="00493D1C">
        <w:trPr>
          <w:trHeight w:val="45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proofErr w:type="gramStart"/>
            <w:r w:rsidRPr="00493D1C">
              <w:rPr>
                <w:rStyle w:val="NormalCharacter"/>
                <w:rFonts w:ascii="仿宋" w:eastAsia="仿宋" w:hAnsi="仿宋"/>
                <w:szCs w:val="21"/>
              </w:rPr>
              <w:t>一</w:t>
            </w:r>
            <w:proofErr w:type="gramEnd"/>
            <w:r w:rsidRPr="00493D1C">
              <w:rPr>
                <w:rStyle w:val="NormalCharacter"/>
                <w:rFonts w:ascii="仿宋" w:eastAsia="仿宋" w:hAnsi="仿宋"/>
                <w:szCs w:val="21"/>
              </w:rPr>
              <w:t>体式可推移整机结构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rFonts w:ascii="仿宋" w:eastAsia="仿宋" w:hAnsi="仿宋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a)静音脚轮设计；</w:t>
            </w:r>
            <w:r w:rsidRPr="00493D1C">
              <w:rPr>
                <w:rStyle w:val="NormalCharacter"/>
                <w:rFonts w:ascii="仿宋" w:eastAsia="仿宋" w:hAnsi="仿宋"/>
                <w:szCs w:val="21"/>
              </w:rPr>
              <w:tab/>
            </w:r>
          </w:p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b)可固定线圈支架；</w:t>
            </w:r>
          </w:p>
        </w:tc>
      </w:tr>
      <w:tr w:rsidR="00E12178" w:rsidTr="00493D1C">
        <w:trPr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刺激模式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单脉冲、重复脉冲、BURST、PATTEREND刺激的多种刺激模式自由调整。</w:t>
            </w:r>
          </w:p>
        </w:tc>
      </w:tr>
      <w:tr w:rsidR="00E12178" w:rsidTr="00493D1C">
        <w:trPr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#兼容性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开放式的技术平台，可与国内外的主流肌电诱发电位仪、脑电图等设备兼容。</w:t>
            </w:r>
          </w:p>
        </w:tc>
      </w:tr>
      <w:tr w:rsidR="00E12178" w:rsidTr="00493D1C">
        <w:trPr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#质量认证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设备生产厂家取得国际认证机构认证的ISO13485、ISO9001质量体系认证</w:t>
            </w:r>
          </w:p>
        </w:tc>
      </w:tr>
      <w:tr w:rsidR="00E12178" w:rsidTr="00493D1C">
        <w:trPr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/>
                <w:szCs w:val="21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MEP模块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UserStyle3"/>
                <w:rFonts w:ascii="仿宋" w:eastAsia="仿宋" w:hAnsi="仿宋"/>
                <w:sz w:val="21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双通道MEP可独立应用，进行MEP检测，以及MEP图形、数字显示与输出；</w:t>
            </w:r>
          </w:p>
          <w:p w:rsidR="00E12178" w:rsidRPr="00493D1C" w:rsidRDefault="00E57809" w:rsidP="00493D1C">
            <w:pPr>
              <w:snapToGrid w:val="0"/>
              <w:rPr>
                <w:rStyle w:val="UserStyle3"/>
                <w:rFonts w:ascii="仿宋" w:eastAsia="仿宋" w:hAnsi="仿宋"/>
                <w:sz w:val="21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a)通道数不低于两通道</w:t>
            </w:r>
          </w:p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b)采样率不低于100KHz</w:t>
            </w:r>
          </w:p>
        </w:tc>
      </w:tr>
      <w:tr w:rsidR="00E12178" w:rsidTr="00493D1C">
        <w:trPr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493D1C">
              <w:rPr>
                <w:rStyle w:val="NormalCharacter"/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NormalCharacter"/>
                <w:rFonts w:ascii="仿宋" w:eastAsia="仿宋" w:hAnsi="仿宋"/>
                <w:szCs w:val="21"/>
              </w:rPr>
              <w:t>★设备升级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Pr="00493D1C" w:rsidRDefault="00E57809" w:rsidP="00493D1C">
            <w:pPr>
              <w:snapToGrid w:val="0"/>
              <w:rPr>
                <w:rStyle w:val="NormalCharacter"/>
                <w:color w:val="000000"/>
                <w:kern w:val="0"/>
                <w:szCs w:val="21"/>
              </w:rPr>
            </w:pPr>
            <w:r w:rsidRPr="00493D1C">
              <w:rPr>
                <w:rStyle w:val="UserStyle3"/>
                <w:rFonts w:ascii="仿宋" w:eastAsia="仿宋" w:hAnsi="仿宋"/>
                <w:sz w:val="21"/>
                <w:szCs w:val="21"/>
              </w:rPr>
              <w:t>预留增配一个刺激线圈的升级接口，主机可以实现集成两个刺激线圈。</w:t>
            </w:r>
          </w:p>
        </w:tc>
      </w:tr>
      <w:tr w:rsidR="00E12178">
        <w:trPr>
          <w:trHeight w:hRule="exact" w:val="710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质保期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整机免费质保壹年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备件库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西安有备件库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维修站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西安有维修站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收费标准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设备软件终</w:t>
            </w:r>
            <w:r w:rsidR="00EA2507">
              <w:rPr>
                <w:rStyle w:val="NormalCharacter"/>
                <w:rFonts w:ascii="仿宋_GB2312" w:eastAsia="仿宋_GB2312" w:hint="eastAsia"/>
                <w:sz w:val="24"/>
              </w:rPr>
              <w:t>身</w:t>
            </w:r>
            <w:r>
              <w:rPr>
                <w:rStyle w:val="NormalCharacter"/>
                <w:rFonts w:ascii="仿宋_GB2312" w:eastAsia="仿宋_GB2312"/>
                <w:sz w:val="24"/>
              </w:rPr>
              <w:t>免费升级，质保期外只收取配件成本费，不收取其它任何费用。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培训支持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免费上门培训，培训人数及地点由科室指定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维修响应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left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24小时全程响应，2小时到达现场，48小时内不能解决故障时提供备用设备。</w:t>
            </w:r>
          </w:p>
        </w:tc>
      </w:tr>
      <w:tr w:rsidR="00E12178" w:rsidTr="00493D1C">
        <w:trPr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8"/>
              </w:rPr>
              <w:t>到货时间</w:t>
            </w:r>
          </w:p>
        </w:tc>
        <w:tc>
          <w:tcPr>
            <w:tcW w:w="6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left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签订合同</w:t>
            </w:r>
            <w:r>
              <w:rPr>
                <w:rStyle w:val="NormalCharacter"/>
                <w:rFonts w:ascii="仿宋_GB2312" w:eastAsia="仿宋_GB2312"/>
                <w:sz w:val="24"/>
              </w:rPr>
              <w:t>15天内</w:t>
            </w:r>
          </w:p>
        </w:tc>
      </w:tr>
      <w:tr w:rsidR="00E12178" w:rsidTr="00493D1C">
        <w:trPr>
          <w:trHeight w:hRule="exact" w:val="746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需求科室签字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机关业务部门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E12178" w:rsidTr="00493D1C">
        <w:trPr>
          <w:trHeight w:hRule="exact" w:val="220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57809" w:rsidP="00493D1C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专家组</w:t>
            </w:r>
          </w:p>
        </w:tc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78" w:rsidRDefault="00E12178" w:rsidP="00493D1C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E12178" w:rsidRDefault="00E57809" w:rsidP="00493D1C">
      <w:pPr>
        <w:snapToGrid w:val="0"/>
        <w:ind w:left="720" w:hanging="720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/>
          <w:sz w:val="24"/>
        </w:rPr>
        <w:t>说明: 功能要求、配置清单为必备要求，从功能角度提出；技术参数应体现设备档次要求，参数中区分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、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参数，其中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参数为核心参数，为必须满足参数；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参数为重要参数，在采购评审中分值较高。售后服务要求尽量填写，没有要求的可不填。</w:t>
      </w:r>
    </w:p>
    <w:sectPr w:rsidR="00E12178" w:rsidSect="00493D1C">
      <w:footerReference w:type="default" r:id="rId9"/>
      <w:footerReference w:type="first" r:id="rId10"/>
      <w:pgSz w:w="11907" w:h="16840"/>
      <w:pgMar w:top="851" w:right="1418" w:bottom="993" w:left="1418" w:header="851" w:footer="34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E3" w:rsidRDefault="003F57E3" w:rsidP="00E57809">
      <w:r>
        <w:separator/>
      </w:r>
    </w:p>
  </w:endnote>
  <w:endnote w:type="continuationSeparator" w:id="0">
    <w:p w:rsidR="003F57E3" w:rsidRDefault="003F57E3" w:rsidP="00E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1C" w:rsidRDefault="00493D1C" w:rsidP="00493D1C">
    <w:pPr>
      <w:pStyle w:val="a4"/>
      <w:jc w:val="right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454524"/>
      <w:docPartObj>
        <w:docPartGallery w:val="Page Numbers (Bottom of Page)"/>
        <w:docPartUnique/>
      </w:docPartObj>
    </w:sdtPr>
    <w:sdtEndPr/>
    <w:sdtContent>
      <w:p w:rsidR="00493D1C" w:rsidRDefault="003F57E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D1E" w:rsidRPr="00921D1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93D1C" w:rsidRDefault="00493D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E3" w:rsidRDefault="003F57E3" w:rsidP="00E57809">
      <w:r>
        <w:separator/>
      </w:r>
    </w:p>
  </w:footnote>
  <w:footnote w:type="continuationSeparator" w:id="0">
    <w:p w:rsidR="003F57E3" w:rsidRDefault="003F57E3" w:rsidP="00E5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8730E"/>
    <w:multiLevelType w:val="singleLevel"/>
    <w:tmpl w:val="95C8730E"/>
    <w:lvl w:ilvl="0">
      <w:start w:val="2021"/>
      <w:numFmt w:val="decimal"/>
      <w:suff w:val="nothing"/>
      <w:lvlText w:val="%1-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12178"/>
    <w:rsid w:val="000371D2"/>
    <w:rsid w:val="000E1E46"/>
    <w:rsid w:val="003F57E3"/>
    <w:rsid w:val="00404E6A"/>
    <w:rsid w:val="004555FB"/>
    <w:rsid w:val="00493D1C"/>
    <w:rsid w:val="00546374"/>
    <w:rsid w:val="00696DC1"/>
    <w:rsid w:val="007060A0"/>
    <w:rsid w:val="007F0FC1"/>
    <w:rsid w:val="008E6F31"/>
    <w:rsid w:val="008F46DB"/>
    <w:rsid w:val="00921D1E"/>
    <w:rsid w:val="00967F9D"/>
    <w:rsid w:val="009D376B"/>
    <w:rsid w:val="00B9566A"/>
    <w:rsid w:val="00D50EB8"/>
    <w:rsid w:val="00DD4209"/>
    <w:rsid w:val="00DF3391"/>
    <w:rsid w:val="00E12178"/>
    <w:rsid w:val="00E57809"/>
    <w:rsid w:val="00E92193"/>
    <w:rsid w:val="00EA2507"/>
    <w:rsid w:val="00F20A4D"/>
    <w:rsid w:val="108C0D39"/>
    <w:rsid w:val="37DB3D37"/>
    <w:rsid w:val="39116A87"/>
    <w:rsid w:val="4632237E"/>
    <w:rsid w:val="51D838B1"/>
    <w:rsid w:val="694D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3"/>
    <w:qFormat/>
    <w:rsid w:val="00E1217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12178"/>
    <w:pPr>
      <w:ind w:leftChars="2500" w:left="100"/>
    </w:pPr>
  </w:style>
  <w:style w:type="paragraph" w:styleId="a4">
    <w:name w:val="footer"/>
    <w:basedOn w:val="a"/>
    <w:link w:val="Char"/>
    <w:uiPriority w:val="99"/>
    <w:qFormat/>
    <w:rsid w:val="00E1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1217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E12178"/>
    <w:rPr>
      <w:color w:val="0000FF"/>
      <w:u w:val="single"/>
    </w:rPr>
  </w:style>
  <w:style w:type="character" w:customStyle="1" w:styleId="NormalCharacter">
    <w:name w:val="NormalCharacter"/>
    <w:semiHidden/>
    <w:rsid w:val="00E12178"/>
  </w:style>
  <w:style w:type="table" w:customStyle="1" w:styleId="TableNormal">
    <w:name w:val="TableNormal"/>
    <w:semiHidden/>
    <w:qFormat/>
    <w:rsid w:val="00E121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E12178"/>
  </w:style>
  <w:style w:type="character" w:customStyle="1" w:styleId="UserStyle0">
    <w:name w:val="UserStyle_0"/>
    <w:link w:val="NavPane"/>
    <w:qFormat/>
    <w:rsid w:val="00E12178"/>
    <w:rPr>
      <w:rFonts w:ascii="宋体"/>
      <w:kern w:val="2"/>
      <w:sz w:val="24"/>
      <w:szCs w:val="24"/>
    </w:rPr>
  </w:style>
  <w:style w:type="paragraph" w:customStyle="1" w:styleId="NavPane">
    <w:name w:val="NavPane"/>
    <w:basedOn w:val="a"/>
    <w:link w:val="UserStyle0"/>
    <w:qFormat/>
    <w:rsid w:val="00E12178"/>
    <w:rPr>
      <w:rFonts w:ascii="宋体"/>
      <w:sz w:val="24"/>
    </w:rPr>
  </w:style>
  <w:style w:type="character" w:customStyle="1" w:styleId="UserStyle1">
    <w:name w:val="UserStyle_1"/>
    <w:link w:val="Acetate"/>
    <w:qFormat/>
    <w:rsid w:val="00E12178"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sid w:val="00E12178"/>
    <w:rPr>
      <w:sz w:val="18"/>
      <w:szCs w:val="18"/>
    </w:rPr>
  </w:style>
  <w:style w:type="paragraph" w:customStyle="1" w:styleId="PlainText">
    <w:name w:val="PlainText"/>
    <w:basedOn w:val="a"/>
    <w:qFormat/>
    <w:rsid w:val="00E12178"/>
    <w:rPr>
      <w:rFonts w:ascii="宋体" w:hAnsi="Courier New"/>
      <w:szCs w:val="21"/>
    </w:rPr>
  </w:style>
  <w:style w:type="paragraph" w:customStyle="1" w:styleId="UserStyle2">
    <w:name w:val="UserStyle_2"/>
    <w:basedOn w:val="PlainText"/>
    <w:qFormat/>
    <w:rsid w:val="00E12178"/>
    <w:pPr>
      <w:spacing w:line="240" w:lineRule="atLeast"/>
    </w:pPr>
    <w:rPr>
      <w:sz w:val="28"/>
      <w:szCs w:val="24"/>
    </w:rPr>
  </w:style>
  <w:style w:type="table" w:customStyle="1" w:styleId="TableGrid">
    <w:name w:val="TableGrid"/>
    <w:basedOn w:val="TableNormal"/>
    <w:qFormat/>
    <w:rsid w:val="00E121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3">
    <w:name w:val="UserStyle_3"/>
    <w:semiHidden/>
    <w:qFormat/>
    <w:rsid w:val="00E12178"/>
    <w:rPr>
      <w:rFonts w:ascii="Tahoma" w:hAnsi="Tahoma"/>
      <w:sz w:val="24"/>
      <w:szCs w:val="20"/>
    </w:rPr>
  </w:style>
  <w:style w:type="character" w:customStyle="1" w:styleId="Char">
    <w:name w:val="页脚 Char"/>
    <w:basedOn w:val="a0"/>
    <w:link w:val="a4"/>
    <w:uiPriority w:val="99"/>
    <w:rsid w:val="00493D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8</cp:revision>
  <dcterms:created xsi:type="dcterms:W3CDTF">2021-04-21T09:37:00Z</dcterms:created>
  <dcterms:modified xsi:type="dcterms:W3CDTF">2021-11-04T03:34:00Z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01849C692EB243EBB2F76C32D85164AF</vt:lpwstr>
  </property>
</Properties>
</file>