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/>
          <w:color w:val="auto"/>
          <w:sz w:val="24"/>
          <w:highlight w:val="none"/>
        </w:rPr>
      </w:pPr>
    </w:p>
    <w:p>
      <w:pPr>
        <w:jc w:val="center"/>
        <w:rPr>
          <w:rFonts w:hint="eastAsia" w:ascii="宋体" w:hAnsi="宋体" w:eastAsia="黑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黑体"/>
          <w:color w:val="auto"/>
          <w:sz w:val="28"/>
          <w:szCs w:val="28"/>
          <w:highlight w:val="none"/>
        </w:rPr>
        <w:t>动态三维表面成像系统技术参数表</w:t>
      </w:r>
    </w:p>
    <w:p>
      <w:pPr>
        <w:jc w:val="center"/>
        <w:rPr>
          <w:rFonts w:hint="eastAsia" w:ascii="宋体" w:hAnsi="宋体" w:eastAsia="黑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黑体"/>
          <w:color w:val="auto"/>
          <w:sz w:val="28"/>
          <w:szCs w:val="28"/>
          <w:highlight w:val="none"/>
        </w:rPr>
        <w:t>2021-JK15-W1338</w:t>
      </w:r>
    </w:p>
    <w:p>
      <w:pPr>
        <w:ind w:left="-360"/>
        <w:jc w:val="center"/>
        <w:rPr>
          <w:rFonts w:ascii="楷体_GB2312" w:eastAsia="楷体_GB2312"/>
          <w:b/>
          <w:color w:val="auto"/>
          <w:sz w:val="24"/>
          <w:highlight w:val="none"/>
        </w:rPr>
      </w:pPr>
    </w:p>
    <w:tbl>
      <w:tblPr>
        <w:tblStyle w:val="12"/>
        <w:tblW w:w="98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876"/>
        <w:gridCol w:w="333"/>
        <w:gridCol w:w="815"/>
        <w:gridCol w:w="265"/>
        <w:gridCol w:w="3003"/>
        <w:gridCol w:w="314"/>
        <w:gridCol w:w="2959"/>
        <w:gridCol w:w="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119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4"/>
                <w:highlight w:val="none"/>
              </w:rPr>
              <w:t>设备名称</w:t>
            </w:r>
          </w:p>
        </w:tc>
        <w:tc>
          <w:tcPr>
            <w:tcW w:w="7738" w:type="dxa"/>
            <w:gridSpan w:val="7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动态三维表面成像系统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2119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4"/>
                <w:highlight w:val="none"/>
              </w:rPr>
              <w:t>设备数量</w:t>
            </w:r>
          </w:p>
        </w:tc>
        <w:tc>
          <w:tcPr>
            <w:tcW w:w="4730" w:type="dxa"/>
            <w:gridSpan w:val="5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1 </w:t>
            </w:r>
          </w:p>
        </w:tc>
        <w:tc>
          <w:tcPr>
            <w:tcW w:w="3008" w:type="dxa"/>
            <w:gridSpan w:val="2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ind w:left="360"/>
              <w:rPr>
                <w:rFonts w:ascii="黑体" w:eastAsia="黑体"/>
                <w:color w:val="auto"/>
                <w:sz w:val="24"/>
                <w:highlight w:val="none"/>
              </w:rPr>
            </w:pPr>
            <w:r>
              <w:rPr>
                <w:rFonts w:ascii="黑体" w:hAnsi="黑体" w:eastAsia="黑体"/>
                <w:color w:val="auto"/>
                <w:sz w:val="24"/>
                <w:highlight w:val="none"/>
              </w:rPr>
              <w:t>■</w:t>
            </w:r>
            <w:r>
              <w:rPr>
                <w:rFonts w:hint="eastAsia" w:ascii="黑体" w:eastAsia="黑体"/>
                <w:color w:val="auto"/>
                <w:sz w:val="24"/>
                <w:highlight w:val="none"/>
              </w:rPr>
              <w:t xml:space="preserve">进口 </w:t>
            </w:r>
            <w:r>
              <w:rPr>
                <w:rFonts w:hint="eastAsia" w:ascii="黑体" w:hAnsi="黑体" w:eastAsia="黑体"/>
                <w:color w:val="auto"/>
                <w:sz w:val="24"/>
                <w:highlight w:val="none"/>
              </w:rPr>
              <w:t>□国产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jc w:val="center"/>
        </w:trPr>
        <w:tc>
          <w:tcPr>
            <w:tcW w:w="9808" w:type="dxa"/>
            <w:gridSpan w:val="8"/>
            <w:tcBorders>
              <w:top w:val="trip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highlight w:val="none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736" w:hRule="atLeast"/>
          <w:jc w:val="center"/>
        </w:trPr>
        <w:tc>
          <w:tcPr>
            <w:tcW w:w="9808" w:type="dxa"/>
            <w:gridSpan w:val="8"/>
            <w:vAlign w:val="center"/>
          </w:tcPr>
          <w:p>
            <w:pPr>
              <w:ind w:firstLine="480" w:firstLineChars="200"/>
              <w:rPr>
                <w:rFonts w:hint="eastAsia" w:asciiTheme="minorEastAsia" w:hAnsiTheme="minorEastAsia" w:eastAsiaTheme="minorEastAsia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highlight w:val="none"/>
                <w:lang w:eastAsia="zh-CN"/>
              </w:rPr>
              <w:t>可</w:t>
            </w:r>
            <w:r>
              <w:rPr>
                <w:rFonts w:asciiTheme="minorEastAsia" w:hAnsiTheme="minorEastAsia" w:eastAsiaTheme="minorEastAsia"/>
                <w:color w:val="auto"/>
                <w:sz w:val="24"/>
                <w:highlight w:val="none"/>
              </w:rPr>
              <w:t>快速扫描获得人脸面部信息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highlight w:val="none"/>
                <w:lang w:eastAsia="zh-CN"/>
              </w:rPr>
              <w:t>，并实现三维建模，进行数据分析。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559" w:hRule="atLeast"/>
          <w:jc w:val="center"/>
        </w:trPr>
        <w:tc>
          <w:tcPr>
            <w:tcW w:w="9808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highlight w:val="none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474" w:hRule="atLeast"/>
          <w:jc w:val="center"/>
        </w:trPr>
        <w:tc>
          <w:tcPr>
            <w:tcW w:w="3267" w:type="dxa"/>
            <w:gridSpan w:val="4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2"/>
                <w:highlight w:val="none"/>
              </w:rPr>
              <w:t>序号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2"/>
                <w:highlight w:val="none"/>
              </w:rPr>
              <w:t>描述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2"/>
                <w:highlight w:val="none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624" w:hRule="atLeast"/>
          <w:jc w:val="center"/>
        </w:trPr>
        <w:tc>
          <w:tcPr>
            <w:tcW w:w="3267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  <w:t>1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highlight w:val="none"/>
              </w:rPr>
              <w:t>面部扫描主体设备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highlight w:val="none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421" w:hRule="atLeast"/>
          <w:jc w:val="center"/>
        </w:trPr>
        <w:tc>
          <w:tcPr>
            <w:tcW w:w="3267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  <w:t>2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highlight w:val="none"/>
              </w:rPr>
              <w:t>面部扫描正版软件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highlight w:val="none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400" w:hRule="atLeast"/>
          <w:jc w:val="center"/>
        </w:trPr>
        <w:tc>
          <w:tcPr>
            <w:tcW w:w="3267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  <w:t>3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highlight w:val="none"/>
              </w:rPr>
              <w:t>高清扫描镜头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highlight w:val="none"/>
              </w:rPr>
              <w:t>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454" w:hRule="atLeast"/>
          <w:jc w:val="center"/>
        </w:trPr>
        <w:tc>
          <w:tcPr>
            <w:tcW w:w="3267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  <w:t>4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highlight w:val="none"/>
              </w:rPr>
              <w:t>后台多数据处理软件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highlight w:val="none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410" w:hRule="atLeast"/>
          <w:jc w:val="center"/>
        </w:trPr>
        <w:tc>
          <w:tcPr>
            <w:tcW w:w="3267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  <w:t>5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highlight w:val="none"/>
              </w:rPr>
              <w:t>口扫补光灯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highlight w:val="none"/>
              </w:rPr>
              <w:t>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623" w:hRule="atLeast"/>
          <w:jc w:val="center"/>
        </w:trPr>
        <w:tc>
          <w:tcPr>
            <w:tcW w:w="3267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  <w:t>6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highlight w:val="none"/>
              </w:rPr>
              <w:t>口扫实时投屏屏幕或掌上平板设备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highlight w:val="none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624" w:hRule="atLeast"/>
          <w:jc w:val="center"/>
        </w:trPr>
        <w:tc>
          <w:tcPr>
            <w:tcW w:w="3267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  <w:t>7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highlight w:val="none"/>
              </w:rPr>
              <w:t>专用图像处理级电脑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highlight w:val="none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624" w:hRule="atLeast"/>
          <w:jc w:val="center"/>
        </w:trPr>
        <w:tc>
          <w:tcPr>
            <w:tcW w:w="3267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  <w:t>8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highlight w:val="none"/>
              </w:rPr>
              <w:t>电动可调口扫设备支架及遥控设备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highlight w:val="none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90" w:hRule="atLeast"/>
          <w:jc w:val="center"/>
        </w:trPr>
        <w:tc>
          <w:tcPr>
            <w:tcW w:w="3267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  <w:t>9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highlight w:val="none"/>
              </w:rPr>
              <w:t>连接线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highlight w:val="none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90" w:hRule="atLeast"/>
          <w:jc w:val="center"/>
        </w:trPr>
        <w:tc>
          <w:tcPr>
            <w:tcW w:w="3267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  <w:t>1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  <w:t>0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highlight w:val="none"/>
              </w:rPr>
              <w:t>三维打印机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highlight w:val="none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90" w:hRule="atLeast"/>
          <w:jc w:val="center"/>
        </w:trPr>
        <w:tc>
          <w:tcPr>
            <w:tcW w:w="3267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  <w:t>1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  <w:t>1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highlight w:val="none"/>
              </w:rPr>
              <w:t>超声波清洗设备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highlight w:val="none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90" w:hRule="atLeast"/>
          <w:jc w:val="center"/>
        </w:trPr>
        <w:tc>
          <w:tcPr>
            <w:tcW w:w="3267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  <w:t>1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  <w:t>2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highlight w:val="none"/>
              </w:rPr>
              <w:t>UV固化设备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highlight w:val="none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90" w:hRule="atLeast"/>
          <w:jc w:val="center"/>
        </w:trPr>
        <w:tc>
          <w:tcPr>
            <w:tcW w:w="3267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  <w:t>13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JMT主机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90" w:hRule="atLeast"/>
          <w:jc w:val="center"/>
        </w:trPr>
        <w:tc>
          <w:tcPr>
            <w:tcW w:w="3267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  <w:t>14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上颌传感器、下颌运动器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90" w:hRule="atLeast"/>
          <w:jc w:val="center"/>
        </w:trPr>
        <w:tc>
          <w:tcPr>
            <w:tcW w:w="3267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  <w:t>15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颌架转移套装（含1个转移台，5片坐标板、9根专用螺杆）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90" w:hRule="atLeast"/>
          <w:jc w:val="center"/>
        </w:trPr>
        <w:tc>
          <w:tcPr>
            <w:tcW w:w="3267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  <w:t>16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上颌颌板、M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INI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颌板、下颌颌叉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8个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90" w:hRule="atLeast"/>
          <w:jc w:val="center"/>
        </w:trPr>
        <w:tc>
          <w:tcPr>
            <w:tcW w:w="3267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  <w:t>17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快速咬合定位器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8个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90" w:hRule="atLeast"/>
          <w:jc w:val="center"/>
        </w:trPr>
        <w:tc>
          <w:tcPr>
            <w:tcW w:w="3267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  <w:t>18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头部固定带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3条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90" w:hRule="atLeast"/>
          <w:jc w:val="center"/>
        </w:trPr>
        <w:tc>
          <w:tcPr>
            <w:tcW w:w="3267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  <w:t>19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配件包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90" w:hRule="atLeast"/>
          <w:jc w:val="center"/>
        </w:trPr>
        <w:tc>
          <w:tcPr>
            <w:tcW w:w="3267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  <w:t>20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spacing w:line="300" w:lineRule="exact"/>
              <w:ind w:right="-153" w:rightChars="-73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颌架转移-CAD/CAM模块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90" w:hRule="atLeast"/>
          <w:jc w:val="center"/>
        </w:trPr>
        <w:tc>
          <w:tcPr>
            <w:tcW w:w="3267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  <w:t>21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spacing w:line="300" w:lineRule="exact"/>
              <w:ind w:right="-153" w:rightChars="-73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 xml:space="preserve">功能分析模块 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D-Analysis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90" w:hRule="atLeast"/>
          <w:jc w:val="center"/>
        </w:trPr>
        <w:tc>
          <w:tcPr>
            <w:tcW w:w="3267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  <w:t>22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spacing w:line="300" w:lineRule="exact"/>
              <w:ind w:right="-153" w:rightChars="-73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颌位关系模块 JawRelation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90" w:hRule="atLeast"/>
          <w:jc w:val="center"/>
        </w:trPr>
        <w:tc>
          <w:tcPr>
            <w:tcW w:w="3267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  <w:t>23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EXOCAD设计软件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559" w:hRule="atLeast"/>
          <w:jc w:val="center"/>
        </w:trPr>
        <w:tc>
          <w:tcPr>
            <w:tcW w:w="9808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highlight w:val="none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528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指标名称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366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电源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220V 50Hz，10A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622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★扫描镜头</w:t>
            </w: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  <w:lang w:eastAsia="zh-CN"/>
              </w:rPr>
              <w:t>及其</w:t>
            </w: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分辨率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7组</w:t>
            </w: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  <w:lang w:eastAsia="zh-CN"/>
              </w:rPr>
              <w:t>镜头</w:t>
            </w: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，每组</w:t>
            </w: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  <w:lang w:eastAsia="zh-CN"/>
              </w:rPr>
              <w:t>分辨率</w:t>
            </w: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大于等于6K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567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★口扫补光灯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5组及以上镭射补光灯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429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★成像速度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  <w:lang w:eastAsia="zh-CN"/>
              </w:rPr>
              <w:t>小于</w:t>
            </w: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等于3秒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429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＃扫描方式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高清拍照配合点阵投影技术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429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★数据导出格式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包括不限于STL、PLY、OBJ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cantSplit/>
          <w:trHeight w:val="1240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★配套软件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软件具有数据处理、修复体设计等功能，兼容CBCT、主流口扫设备数据，可满足正畸治疗模拟、美学修复设计、种植体模拟、种植导板设计、虚拟咬合架等功能，并终身免费升级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cantSplit/>
          <w:trHeight w:val="395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cs="仿宋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★扫描精度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大于等于0.2mm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428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＃取象速度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每秒大于等于100张，响应速度0.2秒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400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1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★数据拟合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自动拟合CBCT、口扫、同一病人各个时期的面扫数据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495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1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设备支架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占地面积小于等于5平方米，支架电动可调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710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1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＃实时扫描结果展示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配套27寸以上LED显示屏或兼容软件的掌上平板设备，同时带有面部所有细节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708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1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＃配套网络服务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构建内部局域网，数据可实时传输于面扫设备、数据处理电脑、展示显示屏或掌上医患沟通设备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429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1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pStyle w:val="9"/>
              <w:jc w:val="center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  <w:t>成型</w:t>
            </w: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</w:rPr>
              <w:t>尺寸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pStyle w:val="9"/>
              <w:jc w:val="both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</w:rPr>
              <w:t>1</w:t>
            </w:r>
            <w:r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  <w:t xml:space="preserve">44*81*200 </w:t>
            </w: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395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1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pStyle w:val="9"/>
              <w:jc w:val="center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</w:rPr>
              <w:t>分辨率/</w:t>
            </w:r>
            <w:r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  <w:t>像素尺寸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pStyle w:val="9"/>
              <w:jc w:val="both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  <w:t xml:space="preserve">3840 × 2160 </w:t>
            </w: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</w:rPr>
              <w:t>像素</w:t>
            </w: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  <w:lang w:eastAsia="zh-CN"/>
              </w:rPr>
              <w:t>，最小像素尺寸</w:t>
            </w: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</w:rPr>
              <w:t>5</w:t>
            </w:r>
            <w:r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  <w:t>6</w:t>
            </w: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</w:rPr>
              <w:t>um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1015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16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pStyle w:val="9"/>
              <w:jc w:val="center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</w:rPr>
              <w:t>打印件精度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pStyle w:val="9"/>
              <w:jc w:val="both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</w:rPr>
              <w:t>颌骨打印±</w:t>
            </w:r>
            <w:r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  <w:t>25</w:t>
            </w: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</w:rPr>
              <w:t>um；牙模打印±</w:t>
            </w:r>
            <w:r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  <w:t>15</w:t>
            </w: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</w:rPr>
              <w:t>um；正畸标准模型±</w:t>
            </w:r>
            <w:r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  <w:t>25</w:t>
            </w: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</w:rPr>
              <w:t>um；临时牙±</w:t>
            </w:r>
            <w:r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  <w:t>12</w:t>
            </w: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</w:rPr>
              <w:t>um；种植模型假牙龈±</w:t>
            </w:r>
            <w:r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  <w:t>11</w:t>
            </w: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</w:rPr>
              <w:t>um；面部器官±</w:t>
            </w:r>
            <w:r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  <w:t>25</w:t>
            </w: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</w:rPr>
              <w:t>um；基托软组织±</w:t>
            </w:r>
            <w:r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  <w:t>15</w:t>
            </w: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</w:rPr>
              <w:t>um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472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1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pStyle w:val="9"/>
              <w:jc w:val="center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  <w:t>技术类型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pStyle w:val="9"/>
              <w:jc w:val="both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  <w:t>低剥离力 DLP 光固化技术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355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1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pStyle w:val="9"/>
              <w:jc w:val="center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  <w:t>层厚设置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pStyle w:val="9"/>
              <w:jc w:val="both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  <w:t>0.025 - 0.3 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675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1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pStyle w:val="9"/>
              <w:jc w:val="center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  <w:t>成型速度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最</w:t>
            </w: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快</w:t>
            </w:r>
            <w:r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 xml:space="preserve"> 90 mm / 小时（打印速度与所用耗材类型和打印设置有关）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420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2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pStyle w:val="9"/>
              <w:jc w:val="center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  <w:lang w:val="en-US" w:eastAsia="zh-CN"/>
              </w:rPr>
              <w:t>#</w:t>
            </w: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</w:rPr>
              <w:t>光源/波段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pStyle w:val="9"/>
              <w:jc w:val="both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  <w:t>UV LED 光源，德州仪器 DMD 芯片</w:t>
            </w: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</w:rPr>
              <w:t>/</w:t>
            </w:r>
            <w:r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  <w:t xml:space="preserve">385 </w:t>
            </w: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</w:rPr>
              <w:t>nm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463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2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pStyle w:val="9"/>
              <w:jc w:val="center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  <w:lang w:val="en-US" w:eastAsia="zh-CN"/>
              </w:rPr>
              <w:t>#</w:t>
            </w: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</w:rPr>
              <w:t>三维打印特殊功能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pStyle w:val="9"/>
              <w:jc w:val="both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</w:rPr>
              <w:t>边打印边加热，打印物料槽只需更替打印薄膜即可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429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2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pStyle w:val="9"/>
              <w:jc w:val="center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</w:rPr>
              <w:t>★文件格式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pStyle w:val="9"/>
              <w:jc w:val="both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  <w:t>.BLS/.STL/.OBJ/.RS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653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2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pStyle w:val="9"/>
              <w:jc w:val="center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</w:rPr>
              <w:t>＃高阶功能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pStyle w:val="9"/>
              <w:jc w:val="both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</w:rPr>
              <w:t>支撑编辑，自动修复，模型切割，模型抽壳，模型打孔；可进行远程控制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759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24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pStyle w:val="9"/>
              <w:jc w:val="center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</w:rPr>
              <w:t>下颌运动轨迹记录机理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pStyle w:val="9"/>
              <w:jc w:val="both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highlight w:val="none"/>
              </w:rPr>
              <w:t>通过下颌运动轨迹记录，可对口颌系统的生理或病理情况做出诊断及辅助治疗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687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25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pStyle w:val="9"/>
              <w:jc w:val="center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</w:rPr>
              <w:t>下颌运动轨迹记录精度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pStyle w:val="9"/>
              <w:jc w:val="both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highlight w:val="none"/>
              </w:rPr>
              <w:t>超声波频率：40kHZ；测量范围：10-100mm；定位精度：±0.1mm；咬合架计算精度：±2°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707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26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pStyle w:val="9"/>
              <w:jc w:val="center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</w:rPr>
              <w:t>★下颌运动轨迹记录数据匹配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pStyle w:val="9"/>
              <w:jc w:val="both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highlight w:val="none"/>
              </w:rPr>
              <w:t>测量者运动过程中支持同步导入口扫数据，实现患者运动测量时，同步显示咬合干扰功能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963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27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pStyle w:val="9"/>
              <w:jc w:val="center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</w:rPr>
              <w:t>下颌运动轨迹记录特征点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pStyle w:val="9"/>
              <w:jc w:val="both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highlight w:val="none"/>
              </w:rPr>
              <w:t>系统具备标志指针，可记录面部特征点或运动参考点，包括眼角、眶下缘点、嘴角点等，可在运动过程中同步记录上述所有特征点运动轨迹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1015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28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pStyle w:val="9"/>
              <w:jc w:val="center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</w:rPr>
              <w:t>下颌运动轨迹记录沟通功能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pStyle w:val="9"/>
              <w:jc w:val="both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highlight w:val="none"/>
              </w:rPr>
              <w:t>系统可记录患者下颌切端与铰链轴点实时运动，以特征点轨迹或虚拟三维模型形式进行运动演示，动态可视化运动数据和运动轨迹图，辅助医生诊断与医患沟通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1015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29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pStyle w:val="9"/>
              <w:jc w:val="center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</w:rPr>
              <w:t>★下颌运动轨迹记录观测界面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pStyle w:val="9"/>
              <w:jc w:val="both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highlight w:val="none"/>
              </w:rPr>
              <w:t>配置DICOM数据运动显示功能，可实时观测断层扫描界面的矢状面、冠状面、水平面实时变化及展示三维重建下颌骨运动过程，辅助颞下颌关节诊断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718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30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pStyle w:val="9"/>
              <w:jc w:val="center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</w:rPr>
              <w:t>下颌运动轨迹记录速度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pStyle w:val="9"/>
              <w:jc w:val="both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highlight w:val="none"/>
              </w:rPr>
              <w:t>可在</w:t>
            </w:r>
            <w:r>
              <w:rPr>
                <w:rFonts w:asciiTheme="minorEastAsia" w:hAnsiTheme="minorEastAsia" w:eastAsiaTheme="minorEastAsia"/>
                <w:color w:val="auto"/>
                <w:highlight w:val="none"/>
              </w:rPr>
              <w:t>40</w:t>
            </w:r>
            <w:r>
              <w:rPr>
                <w:rFonts w:hint="eastAsia" w:asciiTheme="minorEastAsia" w:hAnsiTheme="minorEastAsia" w:eastAsiaTheme="minorEastAsia"/>
                <w:color w:val="auto"/>
                <w:highlight w:val="none"/>
              </w:rPr>
              <w:t>秒内测量完毕，获取髁突及切端前伸、侧方、开口等轨迹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813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31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pStyle w:val="9"/>
              <w:jc w:val="center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</w:rPr>
              <w:t>★下颌运动轨迹记录颌架匹配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pStyle w:val="9"/>
              <w:jc w:val="both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highlight w:val="none"/>
              </w:rPr>
              <w:t>可快速测量得到Artex、SAM、Ka</w:t>
            </w:r>
            <w:r>
              <w:rPr>
                <w:rFonts w:asciiTheme="minorEastAsia" w:hAnsiTheme="minorEastAsia" w:eastAsiaTheme="minorEastAsia"/>
                <w:color w:val="auto"/>
                <w:highlight w:val="none"/>
              </w:rPr>
              <w:t>v</w:t>
            </w:r>
            <w:r>
              <w:rPr>
                <w:rFonts w:hint="eastAsia" w:asciiTheme="minorEastAsia" w:hAnsiTheme="minorEastAsia" w:eastAsiaTheme="minorEastAsia"/>
                <w:color w:val="auto"/>
                <w:highlight w:val="none"/>
              </w:rPr>
              <w:t>o、</w:t>
            </w:r>
            <w:r>
              <w:rPr>
                <w:rFonts w:asciiTheme="minorEastAsia" w:hAnsiTheme="minorEastAsia" w:eastAsiaTheme="minorEastAsia"/>
                <w:color w:val="auto"/>
                <w:highlight w:val="none"/>
              </w:rPr>
              <w:t>Stratos</w:t>
            </w:r>
            <w:r>
              <w:rPr>
                <w:rFonts w:hint="eastAsia" w:asciiTheme="minorEastAsia" w:hAnsiTheme="minorEastAsia" w:eastAsiaTheme="minorEastAsia"/>
                <w:color w:val="auto"/>
                <w:highlight w:val="none"/>
              </w:rPr>
              <w:t>、P</w:t>
            </w:r>
            <w:r>
              <w:rPr>
                <w:rFonts w:asciiTheme="minorEastAsia" w:hAnsiTheme="minorEastAsia" w:eastAsiaTheme="minorEastAsia"/>
                <w:color w:val="auto"/>
                <w:highlight w:val="none"/>
              </w:rPr>
              <w:t>S1</w:t>
            </w:r>
            <w:r>
              <w:rPr>
                <w:rFonts w:hint="eastAsia" w:asciiTheme="minorEastAsia" w:hAnsiTheme="minorEastAsia" w:eastAsiaTheme="minorEastAsia"/>
                <w:color w:val="auto"/>
                <w:highlight w:val="none"/>
              </w:rPr>
              <w:t>等知名品牌咬合架的调节数据信息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738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32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pStyle w:val="9"/>
              <w:jc w:val="center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</w:rPr>
              <w:t>下颌运动轨迹记录虚拟调整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pStyle w:val="9"/>
              <w:jc w:val="both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highlight w:val="none"/>
              </w:rPr>
              <w:t>可生成.XML电子运动轨迹文件,导入开放型义齿设计系统进行虚拟调颌设计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941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33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pStyle w:val="9"/>
              <w:jc w:val="center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</w:rPr>
              <w:t>★下颌运动轨迹记录电子辅助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pStyle w:val="9"/>
              <w:jc w:val="both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highlight w:val="none"/>
              </w:rPr>
              <w:t>支持多种电子方法辅助测量适应性建颌位，包括电子哥特式弓方式、去程序化重复寻找等方式，用于咬合重建，数字化咬合垫设计等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740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34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pStyle w:val="9"/>
              <w:jc w:val="center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</w:rPr>
              <w:t>下颌运动轨迹记录临床操作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pStyle w:val="9"/>
              <w:jc w:val="both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highlight w:val="none"/>
              </w:rPr>
              <w:t>支持M</w:t>
            </w:r>
            <w:r>
              <w:rPr>
                <w:rFonts w:asciiTheme="minorEastAsia" w:hAnsiTheme="minorEastAsia" w:eastAsiaTheme="minorEastAsia"/>
                <w:color w:val="auto"/>
                <w:highlight w:val="none"/>
              </w:rPr>
              <w:t>INI</w:t>
            </w:r>
            <w:r>
              <w:rPr>
                <w:rFonts w:hint="eastAsia" w:asciiTheme="minorEastAsia" w:hAnsiTheme="minorEastAsia" w:eastAsiaTheme="minorEastAsia"/>
                <w:color w:val="auto"/>
                <w:highlight w:val="none"/>
              </w:rPr>
              <w:t>颌板，尺寸≤4</w:t>
            </w:r>
            <w:r>
              <w:rPr>
                <w:rFonts w:asciiTheme="minorEastAsia" w:hAnsiTheme="minorEastAsia" w:eastAsiaTheme="minorEastAsia"/>
                <w:color w:val="auto"/>
                <w:highlight w:val="none"/>
              </w:rPr>
              <w:t>5</w:t>
            </w:r>
            <w:r>
              <w:rPr>
                <w:rFonts w:hint="eastAsia" w:asciiTheme="minorEastAsia" w:hAnsiTheme="minorEastAsia" w:eastAsiaTheme="minorEastAsia"/>
                <w:color w:val="auto"/>
                <w:highlight w:val="none"/>
              </w:rPr>
              <w:t>*</w:t>
            </w:r>
            <w:r>
              <w:rPr>
                <w:rFonts w:asciiTheme="minorEastAsia" w:hAnsiTheme="minorEastAsia" w:eastAsiaTheme="minorEastAsia"/>
                <w:color w:val="auto"/>
                <w:highlight w:val="none"/>
              </w:rPr>
              <w:t>12.5</w:t>
            </w:r>
            <w:r>
              <w:rPr>
                <w:rFonts w:hint="eastAsia" w:asciiTheme="minorEastAsia" w:hAnsiTheme="minorEastAsia" w:eastAsiaTheme="minorEastAsia"/>
                <w:color w:val="auto"/>
                <w:highlight w:val="none"/>
              </w:rPr>
              <w:t>*</w:t>
            </w:r>
            <w:r>
              <w:rPr>
                <w:rFonts w:asciiTheme="minorEastAsia" w:hAnsiTheme="minorEastAsia" w:eastAsiaTheme="minorEastAsia"/>
                <w:color w:val="auto"/>
                <w:highlight w:val="none"/>
              </w:rPr>
              <w:t>46mm</w:t>
            </w:r>
            <w:r>
              <w:rPr>
                <w:rFonts w:hint="eastAsia" w:asciiTheme="minorEastAsia" w:hAnsiTheme="minorEastAsia" w:eastAsiaTheme="minorEastAsia"/>
                <w:color w:val="auto"/>
                <w:highlight w:val="none"/>
              </w:rPr>
              <w:t>，用于纯数字修复设计流程；支持无线脚踏式开关，有助于临床无接触操作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505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35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pStyle w:val="9"/>
              <w:jc w:val="center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  <w:lang w:val="en-US" w:eastAsia="zh-CN"/>
              </w:rPr>
              <w:t>#</w:t>
            </w: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</w:rPr>
              <w:t>用户可视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pStyle w:val="9"/>
              <w:jc w:val="both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highlight w:val="none"/>
              </w:rPr>
              <w:t>用户界面主题色可调，针对不同用户实现个性化背景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593" w:hRule="exact"/>
          <w:jc w:val="center"/>
        </w:trPr>
        <w:tc>
          <w:tcPr>
            <w:tcW w:w="9808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highlight w:val="none"/>
              </w:rPr>
              <w:t>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710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1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sz w:val="24"/>
                <w:szCs w:val="28"/>
                <w:highlight w:val="none"/>
              </w:rPr>
              <w:t>质保期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sz w:val="24"/>
                <w:szCs w:val="28"/>
                <w:highlight w:val="none"/>
              </w:rPr>
              <w:t>整体保修五年，所有软件免费升级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710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2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sz w:val="24"/>
                <w:szCs w:val="28"/>
                <w:highlight w:val="none"/>
              </w:rPr>
              <w:t>备件库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highlight w:val="none"/>
              </w:rPr>
              <w:t>国内有备件库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710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3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sz w:val="24"/>
                <w:szCs w:val="28"/>
                <w:highlight w:val="none"/>
              </w:rPr>
              <w:t>维修站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highlight w:val="none"/>
              </w:rPr>
              <w:t>国内有维修站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710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4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sz w:val="24"/>
                <w:szCs w:val="28"/>
                <w:highlight w:val="none"/>
              </w:rPr>
              <w:t>收费标准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highlight w:val="none"/>
              </w:rPr>
              <w:t>质保期内免费维修，质保期外配件按市场价70% 收取，免收人工费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710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5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sz w:val="24"/>
                <w:szCs w:val="28"/>
                <w:highlight w:val="none"/>
              </w:rPr>
              <w:t>培训支持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color w:val="auto"/>
                <w:sz w:val="24"/>
                <w:szCs w:val="24"/>
                <w:highlight w:val="none"/>
              </w:rPr>
              <w:t>现场培训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710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6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sz w:val="24"/>
                <w:szCs w:val="28"/>
                <w:highlight w:val="none"/>
              </w:rPr>
              <w:t>维修响应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sz w:val="24"/>
                <w:szCs w:val="24"/>
                <w:highlight w:val="none"/>
              </w:rPr>
              <w:t>2小时响应，24小时到达现场，主要零部件损坏，直接更换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710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7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sz w:val="24"/>
                <w:szCs w:val="28"/>
                <w:highlight w:val="none"/>
              </w:rPr>
              <w:t>到货时间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sz w:val="24"/>
                <w:szCs w:val="24"/>
                <w:highlight w:val="none"/>
                <w:lang w:eastAsia="zh-CN"/>
              </w:rPr>
              <w:t>合同签订后，</w:t>
            </w:r>
            <w:r>
              <w:rPr>
                <w:rFonts w:asciiTheme="minorEastAsia" w:hAnsiTheme="minorEastAsia" w:eastAsiaTheme="minorEastAsia"/>
                <w:bCs/>
                <w:color w:val="auto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Theme="minorEastAsia" w:hAnsiTheme="minorEastAsia" w:eastAsiaTheme="minorEastAsia"/>
                <w:bCs/>
                <w:color w:val="auto"/>
                <w:sz w:val="24"/>
                <w:szCs w:val="24"/>
                <w:highlight w:val="none"/>
              </w:rPr>
              <w:t>0个工作日</w:t>
            </w:r>
            <w:r>
              <w:rPr>
                <w:rFonts w:hint="eastAsia" w:asciiTheme="minorEastAsia" w:hAnsiTheme="minorEastAsia" w:eastAsiaTheme="minorEastAsia"/>
                <w:bCs/>
                <w:color w:val="auto"/>
                <w:sz w:val="24"/>
                <w:szCs w:val="24"/>
                <w:highlight w:val="none"/>
                <w:lang w:eastAsia="zh-CN"/>
              </w:rPr>
              <w:t>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746" w:hRule="exact"/>
          <w:jc w:val="center"/>
        </w:trPr>
        <w:tc>
          <w:tcPr>
            <w:tcW w:w="245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等线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最高限价</w:t>
            </w:r>
          </w:p>
        </w:tc>
        <w:tc>
          <w:tcPr>
            <w:tcW w:w="735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160万元人民币</w:t>
            </w:r>
          </w:p>
        </w:tc>
      </w:tr>
    </w:tbl>
    <w:p>
      <w:pPr>
        <w:ind w:left="720" w:hanging="720" w:hangingChars="3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说明: 功能要求、配置清单为必备要求，从功能角度提出；技术参数应体现设备档次要求，参数中区分“</w:t>
      </w:r>
      <w:bookmarkStart w:id="0" w:name="OLE_LINK3"/>
      <w:bookmarkStart w:id="1" w:name="OLE_LINK1"/>
      <w:r>
        <w:rPr>
          <w:rFonts w:ascii="Times New Roman" w:hAnsi="Times New Roman" w:eastAsia="仿宋_GB2312"/>
          <w:sz w:val="24"/>
        </w:rPr>
        <w:t>★</w:t>
      </w:r>
      <w:bookmarkEnd w:id="0"/>
      <w:bookmarkEnd w:id="1"/>
      <w:r>
        <w:rPr>
          <w:rFonts w:ascii="Times New Roman" w:hAnsi="Times New Roman" w:eastAsia="仿宋_GB2312"/>
          <w:sz w:val="24"/>
        </w:rPr>
        <w:t>”、“</w:t>
      </w:r>
      <w:bookmarkStart w:id="2" w:name="OLE_LINK5"/>
      <w:bookmarkStart w:id="3" w:name="OLE_LINK4"/>
      <w:r>
        <w:rPr>
          <w:rFonts w:ascii="Times New Roman" w:hAnsi="Times New Roman" w:eastAsia="仿宋_GB2312"/>
          <w:b/>
          <w:sz w:val="24"/>
        </w:rPr>
        <w:t>＃</w:t>
      </w:r>
      <w:bookmarkEnd w:id="2"/>
      <w:bookmarkEnd w:id="3"/>
      <w:r>
        <w:rPr>
          <w:rFonts w:ascii="Times New Roman" w:hAnsi="Times New Roman" w:eastAsia="仿宋_GB2312"/>
          <w:sz w:val="24"/>
        </w:rPr>
        <w:t>”参数，其中“★”参数为核心参数，为必须满足参数；“</w:t>
      </w:r>
      <w:bookmarkStart w:id="4" w:name="OLE_LINK2"/>
      <w:r>
        <w:rPr>
          <w:rFonts w:ascii="Times New Roman" w:hAnsi="Times New Roman" w:eastAsia="仿宋_GB2312"/>
          <w:b/>
          <w:sz w:val="24"/>
        </w:rPr>
        <w:t>＃</w:t>
      </w:r>
      <w:bookmarkEnd w:id="4"/>
      <w:r>
        <w:rPr>
          <w:rFonts w:ascii="Times New Roman" w:hAnsi="Times New Roman" w:eastAsia="仿宋_GB2312"/>
          <w:sz w:val="24"/>
        </w:rPr>
        <w:t>”参数为重要参数，在采购评审中分值较高。</w:t>
      </w:r>
    </w:p>
    <w:p>
      <w:pPr>
        <w:spacing w:line="360" w:lineRule="auto"/>
        <w:rPr>
          <w:rFonts w:ascii="宋体" w:hAnsi="宋体" w:eastAsia="宋体"/>
          <w:color w:val="auto"/>
          <w:sz w:val="24"/>
          <w:highlight w:val="none"/>
        </w:rPr>
      </w:pPr>
      <w:bookmarkStart w:id="5" w:name="_GoBack"/>
      <w:bookmarkEnd w:id="5"/>
    </w:p>
    <w:sectPr>
      <w:pgSz w:w="11906" w:h="16838"/>
      <w:pgMar w:top="1134" w:right="1644" w:bottom="113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roman"/>
    <w:pitch w:val="default"/>
    <w:sig w:usb0="00000000" w:usb1="00000000" w:usb2="00000000" w:usb3="00000000" w:csb0="80000000" w:csb1="00000000"/>
  </w:font>
  <w:font w:name="MS Mincho">
    <w:altName w:val="MS UI Gothic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S UI Gothic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5822"/>
    <w:rsid w:val="0016146C"/>
    <w:rsid w:val="00382F64"/>
    <w:rsid w:val="00725822"/>
    <w:rsid w:val="00985AE7"/>
    <w:rsid w:val="00A942C9"/>
    <w:rsid w:val="00C01B91"/>
    <w:rsid w:val="00C6700C"/>
    <w:rsid w:val="00FB383C"/>
    <w:rsid w:val="00FD7A95"/>
    <w:rsid w:val="037D379F"/>
    <w:rsid w:val="0BDD1AFD"/>
    <w:rsid w:val="17510551"/>
    <w:rsid w:val="27DD5AE1"/>
    <w:rsid w:val="338F1E8F"/>
    <w:rsid w:val="49F27FFF"/>
    <w:rsid w:val="4C3C55D2"/>
    <w:rsid w:val="5132022A"/>
    <w:rsid w:val="57B05D88"/>
    <w:rsid w:val="5CB22661"/>
    <w:rsid w:val="5F5F1C40"/>
    <w:rsid w:val="7860299C"/>
    <w:rsid w:val="7B7C76DB"/>
    <w:rsid w:val="7C2266E0"/>
    <w:rsid w:val="7E357B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uiPriority w:val="99"/>
    <w:pPr>
      <w:spacing w:after="120" w:afterLines="0"/>
    </w:pPr>
    <w:rPr>
      <w:rFonts w:ascii="Times New Roman"/>
      <w:kern w:val="2"/>
      <w:sz w:val="21"/>
    </w:rPr>
  </w:style>
  <w:style w:type="paragraph" w:styleId="3">
    <w:name w:val="Body Text 2"/>
    <w:basedOn w:val="1"/>
    <w:unhideWhenUsed/>
    <w:qFormat/>
    <w:uiPriority w:val="99"/>
    <w:rPr>
      <w:sz w:val="28"/>
    </w:rPr>
  </w:style>
  <w:style w:type="paragraph" w:styleId="4">
    <w:name w:val="annotation subject"/>
    <w:basedOn w:val="5"/>
    <w:next w:val="5"/>
    <w:link w:val="18"/>
    <w:qFormat/>
    <w:uiPriority w:val="0"/>
    <w:rPr>
      <w:b/>
      <w:bCs/>
    </w:rPr>
  </w:style>
  <w:style w:type="paragraph" w:styleId="5">
    <w:name w:val="annotation text"/>
    <w:basedOn w:val="1"/>
    <w:link w:val="17"/>
    <w:qFormat/>
    <w:uiPriority w:val="0"/>
    <w:pPr>
      <w:jc w:val="left"/>
    </w:pPr>
  </w:style>
  <w:style w:type="paragraph" w:styleId="6">
    <w:name w:val="Balloon Text"/>
    <w:basedOn w:val="1"/>
    <w:link w:val="16"/>
    <w:qFormat/>
    <w:uiPriority w:val="99"/>
    <w:rPr>
      <w:sz w:val="18"/>
      <w:szCs w:val="18"/>
    </w:rPr>
  </w:style>
  <w:style w:type="paragraph" w:styleId="7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character" w:styleId="11">
    <w:name w:val="annotation reference"/>
    <w:basedOn w:val="10"/>
    <w:uiPriority w:val="0"/>
    <w:rPr>
      <w:sz w:val="21"/>
      <w:szCs w:val="21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10"/>
    <w:link w:val="8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7"/>
    <w:qFormat/>
    <w:uiPriority w:val="99"/>
    <w:rPr>
      <w:sz w:val="18"/>
      <w:szCs w:val="18"/>
    </w:rPr>
  </w:style>
  <w:style w:type="character" w:customStyle="1" w:styleId="16">
    <w:name w:val="批注框文本 Char"/>
    <w:basedOn w:val="10"/>
    <w:link w:val="6"/>
    <w:qFormat/>
    <w:uiPriority w:val="99"/>
    <w:rPr>
      <w:sz w:val="18"/>
      <w:szCs w:val="18"/>
    </w:rPr>
  </w:style>
  <w:style w:type="character" w:customStyle="1" w:styleId="17">
    <w:name w:val="批注文字 Char"/>
    <w:basedOn w:val="10"/>
    <w:link w:val="5"/>
    <w:qFormat/>
    <w:uiPriority w:val="0"/>
    <w:rPr>
      <w:kern w:val="2"/>
      <w:sz w:val="21"/>
      <w:szCs w:val="22"/>
    </w:rPr>
  </w:style>
  <w:style w:type="character" w:customStyle="1" w:styleId="18">
    <w:name w:val="批注主题 Char"/>
    <w:basedOn w:val="17"/>
    <w:link w:val="4"/>
    <w:uiPriority w:val="0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79FBE0-FCF8-4B20-947B-5E7B942B64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6</Pages>
  <Words>512</Words>
  <Characters>2919</Characters>
  <Lines>24</Lines>
  <Paragraphs>6</Paragraphs>
  <ScaleCrop>false</ScaleCrop>
  <LinksUpToDate>false</LinksUpToDate>
  <CharactersWithSpaces>3425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2021-07-12T03:19:00Z</dcterms:created>
  <dc:creator>Micorosoft</dc:creator>
  <cp:lastModifiedBy>hp</cp:lastModifiedBy>
  <cp:lastPrinted>2021-07-23T02:09:00Z</cp:lastPrinted>
  <dcterms:modified xsi:type="dcterms:W3CDTF">2021-11-25T01:32:10Z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  <property fmtid="{D5CDD505-2E9C-101B-9397-08002B2CF9AE}" pid="3" name="ICV">
    <vt:lpwstr>1599a2fe435e4e2287f35af2e158337a</vt:lpwstr>
  </property>
</Properties>
</file>