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
        <w:gridCol w:w="883"/>
        <w:gridCol w:w="6"/>
        <w:gridCol w:w="707"/>
        <w:gridCol w:w="1432"/>
        <w:gridCol w:w="3667"/>
        <w:gridCol w:w="1504"/>
        <w:gridCol w:w="206"/>
        <w:gridCol w:w="1225"/>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6" w:type="dxa"/>
          <w:trHeight w:val="564" w:hRule="atLeast"/>
          <w:jc w:val="center"/>
        </w:trPr>
        <w:tc>
          <w:tcPr>
            <w:tcW w:w="1596" w:type="dxa"/>
            <w:gridSpan w:val="3"/>
            <w:tcBorders>
              <w:top w:val="double" w:color="000000" w:sz="4" w:space="0"/>
              <w:left w:val="double" w:color="000000" w:sz="4" w:space="0"/>
              <w:bottom w:val="double" w:color="000000" w:sz="4" w:space="0"/>
            </w:tcBorders>
            <w:vAlign w:val="center"/>
          </w:tcPr>
          <w:p>
            <w:pPr>
              <w:jc w:val="center"/>
              <w:rPr>
                <w:rFonts w:eastAsia="黑体"/>
                <w:sz w:val="24"/>
              </w:rPr>
            </w:pPr>
            <w:bookmarkStart w:id="0" w:name="_GoBack"/>
            <w:bookmarkEnd w:id="0"/>
            <w:r>
              <w:rPr>
                <w:rFonts w:eastAsia="黑体"/>
                <w:sz w:val="24"/>
              </w:rPr>
              <w:t>设备名称</w:t>
            </w:r>
          </w:p>
        </w:tc>
        <w:tc>
          <w:tcPr>
            <w:tcW w:w="8044" w:type="dxa"/>
            <w:gridSpan w:val="6"/>
            <w:tcBorders>
              <w:top w:val="double" w:color="000000" w:sz="4" w:space="0"/>
              <w:right w:val="double" w:color="000000" w:sz="4" w:space="0"/>
            </w:tcBorders>
            <w:vAlign w:val="center"/>
          </w:tcPr>
          <w:p>
            <w:pPr>
              <w:jc w:val="center"/>
              <w:rPr>
                <w:sz w:val="24"/>
              </w:rPr>
            </w:pPr>
            <w:r>
              <w:rPr>
                <w:rFonts w:hint="eastAsia" w:ascii="宋体" w:hAnsi="宋体" w:eastAsia="宋体" w:cs="宋体"/>
                <w:sz w:val="24"/>
              </w:rPr>
              <w:t>高校知识产权解决方案系统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64" w:hRule="atLeast"/>
          <w:jc w:val="center"/>
        </w:trPr>
        <w:tc>
          <w:tcPr>
            <w:tcW w:w="1596" w:type="dxa"/>
            <w:gridSpan w:val="3"/>
            <w:tcBorders>
              <w:top w:val="double" w:color="000000" w:sz="4" w:space="0"/>
              <w:left w:val="double" w:color="000000" w:sz="4" w:space="0"/>
              <w:bottom w:val="double" w:color="000000" w:sz="4" w:space="0"/>
            </w:tcBorders>
            <w:vAlign w:val="center"/>
          </w:tcPr>
          <w:p>
            <w:pPr>
              <w:jc w:val="center"/>
              <w:rPr>
                <w:rFonts w:eastAsia="黑体"/>
                <w:sz w:val="24"/>
              </w:rPr>
            </w:pPr>
            <w:r>
              <w:rPr>
                <w:rFonts w:eastAsia="黑体"/>
                <w:sz w:val="24"/>
              </w:rPr>
              <w:t>预算金额</w:t>
            </w:r>
          </w:p>
        </w:tc>
        <w:tc>
          <w:tcPr>
            <w:tcW w:w="8044" w:type="dxa"/>
            <w:gridSpan w:val="6"/>
            <w:tcBorders>
              <w:top w:val="double" w:color="000000" w:sz="4" w:space="0"/>
              <w:bottom w:val="double" w:color="000000" w:sz="4" w:space="0"/>
              <w:right w:val="double" w:color="000000" w:sz="4" w:space="0"/>
            </w:tcBorders>
            <w:vAlign w:val="center"/>
          </w:tcPr>
          <w:p>
            <w:pPr>
              <w:jc w:val="center"/>
              <w:rPr>
                <w:sz w:val="24"/>
              </w:rPr>
            </w:pPr>
            <w:r>
              <w:rPr>
                <w:rFonts w:hint="eastAsia" w:ascii="宋体" w:hAnsi="宋体" w:eastAsia="宋体" w:cs="宋体"/>
                <w:sz w:val="24"/>
              </w:rPr>
              <w:t>人民币（</w:t>
            </w:r>
            <w:r>
              <w:rPr>
                <w:rFonts w:hint="eastAsia" w:ascii="宋体" w:hAnsi="宋体" w:eastAsia="宋体" w:cs="宋体"/>
                <w:sz w:val="24"/>
                <w:lang w:val="en-US" w:eastAsia="zh-CN"/>
              </w:rPr>
              <w:t>30</w:t>
            </w:r>
            <w:r>
              <w:rPr>
                <w:rFonts w:hint="eastAsia" w:ascii="宋体" w:hAnsi="宋体" w:eastAsia="宋体" w:cs="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64" w:hRule="atLeast"/>
          <w:jc w:val="center"/>
        </w:trPr>
        <w:tc>
          <w:tcPr>
            <w:tcW w:w="1596" w:type="dxa"/>
            <w:gridSpan w:val="3"/>
            <w:tcBorders>
              <w:top w:val="double" w:color="000000" w:sz="4" w:space="0"/>
              <w:left w:val="double" w:color="000000" w:sz="4" w:space="0"/>
              <w:bottom w:val="double" w:color="000000" w:sz="4" w:space="0"/>
            </w:tcBorders>
            <w:vAlign w:val="center"/>
          </w:tcPr>
          <w:p>
            <w:pPr>
              <w:jc w:val="center"/>
              <w:rPr>
                <w:rFonts w:eastAsia="黑体"/>
                <w:sz w:val="24"/>
              </w:rPr>
            </w:pPr>
            <w:r>
              <w:rPr>
                <w:rFonts w:eastAsia="黑体"/>
                <w:sz w:val="24"/>
              </w:rPr>
              <w:t>设备数量</w:t>
            </w:r>
          </w:p>
        </w:tc>
        <w:tc>
          <w:tcPr>
            <w:tcW w:w="5099" w:type="dxa"/>
            <w:gridSpan w:val="2"/>
            <w:tcBorders>
              <w:top w:val="double" w:color="000000" w:sz="4" w:space="0"/>
              <w:bottom w:val="double" w:color="000000" w:sz="4" w:space="0"/>
              <w:right w:val="double" w:color="000000" w:sz="4" w:space="0"/>
            </w:tcBorders>
            <w:vAlign w:val="center"/>
          </w:tcPr>
          <w:p>
            <w:pPr>
              <w:jc w:val="center"/>
              <w:rPr>
                <w:rFonts w:hint="default" w:eastAsiaTheme="minorEastAsia"/>
                <w:sz w:val="24"/>
                <w:lang w:val="en-US" w:eastAsia="zh-CN"/>
              </w:rPr>
            </w:pPr>
            <w:r>
              <w:rPr>
                <w:rFonts w:hint="eastAsia" w:ascii="宋体" w:hAnsi="宋体" w:eastAsia="宋体" w:cs="宋体"/>
                <w:sz w:val="24"/>
              </w:rPr>
              <w:t>1套</w:t>
            </w:r>
          </w:p>
        </w:tc>
        <w:tc>
          <w:tcPr>
            <w:tcW w:w="1504" w:type="dxa"/>
            <w:tcBorders>
              <w:left w:val="double" w:color="000000" w:sz="4" w:space="0"/>
              <w:bottom w:val="double" w:color="000000" w:sz="4" w:space="0"/>
              <w:right w:val="single" w:color="000000" w:sz="4" w:space="0"/>
            </w:tcBorders>
            <w:vAlign w:val="center"/>
          </w:tcPr>
          <w:p>
            <w:pPr>
              <w:jc w:val="center"/>
              <w:rPr>
                <w:rFonts w:eastAsia="黑体"/>
                <w:sz w:val="24"/>
              </w:rPr>
            </w:pPr>
            <w:r>
              <w:rPr>
                <w:rFonts w:eastAsia="黑体"/>
                <w:sz w:val="24"/>
              </w:rPr>
              <w:t>是否进口</w:t>
            </w:r>
          </w:p>
        </w:tc>
        <w:tc>
          <w:tcPr>
            <w:tcW w:w="1441" w:type="dxa"/>
            <w:gridSpan w:val="3"/>
            <w:tcBorders>
              <w:left w:val="single" w:color="000000" w:sz="4" w:space="0"/>
              <w:bottom w:val="double" w:color="000000" w:sz="4" w:space="0"/>
              <w:right w:val="double" w:color="000000" w:sz="4" w:space="0"/>
            </w:tcBorders>
            <w:vAlign w:val="center"/>
          </w:tcPr>
          <w:p>
            <w:pPr>
              <w:jc w:val="center"/>
              <w:rPr>
                <w:sz w:val="24"/>
              </w:rPr>
            </w:pPr>
            <w:r>
              <w:rPr>
                <w:rFonts w:hint="eastAsia" w:ascii="华文中宋" w:hAnsi="华文中宋" w:eastAsia="华文中宋"/>
                <w:sz w:val="24"/>
              </w:rPr>
              <w:sym w:font="Wingdings 2" w:char="00A3"/>
            </w:r>
            <w:r>
              <w:rPr>
                <w:sz w:val="24"/>
              </w:rPr>
              <w:t xml:space="preserve">是 </w:t>
            </w:r>
            <w:r>
              <w:rPr>
                <w:rFonts w:hint="eastAsia" w:ascii="华文中宋" w:hAnsi="华文中宋" w:eastAsia="华文中宋"/>
                <w:sz w:val="24"/>
              </w:rPr>
              <w:sym w:font="Wingdings 2" w:char="0052"/>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64" w:hRule="atLeast"/>
          <w:jc w:val="center"/>
        </w:trPr>
        <w:tc>
          <w:tcPr>
            <w:tcW w:w="9640" w:type="dxa"/>
            <w:gridSpan w:val="9"/>
            <w:tcBorders>
              <w:top w:val="triple" w:color="000000" w:sz="4" w:space="0"/>
            </w:tcBorders>
            <w:vAlign w:val="center"/>
          </w:tcPr>
          <w:p>
            <w:pPr>
              <w:jc w:val="center"/>
              <w:rPr>
                <w:rFonts w:eastAsia="仿宋_GB2312"/>
                <w:b/>
                <w:sz w:val="24"/>
              </w:rPr>
            </w:pPr>
            <w:r>
              <w:rPr>
                <w:rFonts w:eastAsia="仿宋_GB2312"/>
                <w:b/>
                <w:sz w:val="28"/>
              </w:rPr>
              <w:t>设备功能要求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1639" w:hRule="atLeast"/>
          <w:jc w:val="center"/>
        </w:trPr>
        <w:tc>
          <w:tcPr>
            <w:tcW w:w="9640" w:type="dxa"/>
            <w:gridSpan w:val="9"/>
            <w:vAlign w:val="center"/>
          </w:tcPr>
          <w:p>
            <w:pPr>
              <w:pStyle w:val="16"/>
              <w:ind w:firstLine="480"/>
              <w:rPr>
                <w:rFonts w:ascii="宋体" w:hAnsi="宋体" w:eastAsia="宋体"/>
                <w:sz w:val="24"/>
              </w:rPr>
            </w:pPr>
            <w:r>
              <w:rPr>
                <w:rFonts w:ascii="仿宋" w:hAnsi="仿宋" w:eastAsia="仿宋"/>
                <w:sz w:val="24"/>
              </w:rPr>
              <w:t>建设一套大学知识产权管理平台，包括</w:t>
            </w:r>
            <w:r>
              <w:rPr>
                <w:rFonts w:hint="eastAsia" w:ascii="仿宋" w:hAnsi="仿宋" w:eastAsia="仿宋"/>
                <w:sz w:val="24"/>
              </w:rPr>
              <w:t>知识产权门户平台、知识产权创造平台、知识产权管理平台、知识产权协同平台、知识产权运营平台、知识产权保障平台、知识产权情报平台、知识产权集成平台</w:t>
            </w:r>
            <w:r>
              <w:rPr>
                <w:rFonts w:ascii="仿宋" w:hAnsi="仿宋" w:eastAsia="仿宋"/>
                <w:sz w:val="24"/>
              </w:rPr>
              <w:t>等，实现知识产权线上管理及审批，并可生成各类统计分析报表。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08" w:hRule="atLeast"/>
          <w:jc w:val="center"/>
        </w:trPr>
        <w:tc>
          <w:tcPr>
            <w:tcW w:w="9640" w:type="dxa"/>
            <w:gridSpan w:val="9"/>
            <w:vAlign w:val="center"/>
          </w:tcPr>
          <w:p>
            <w:pPr>
              <w:jc w:val="center"/>
              <w:rPr>
                <w:rFonts w:eastAsia="仿宋_GB2312"/>
                <w:b/>
                <w:sz w:val="28"/>
              </w:rPr>
            </w:pPr>
            <w:r>
              <w:rPr>
                <w:rFonts w:eastAsia="仿宋_GB2312"/>
                <w:b/>
                <w:sz w:val="28"/>
              </w:rPr>
              <w:t>软硬件配置清单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54" w:hRule="atLeast"/>
          <w:jc w:val="center"/>
        </w:trPr>
        <w:tc>
          <w:tcPr>
            <w:tcW w:w="889" w:type="dxa"/>
            <w:gridSpan w:val="2"/>
            <w:vAlign w:val="center"/>
          </w:tcPr>
          <w:p>
            <w:pPr>
              <w:widowControl/>
              <w:jc w:val="center"/>
              <w:rPr>
                <w:color w:val="000000"/>
                <w:kern w:val="0"/>
                <w:sz w:val="24"/>
              </w:rPr>
            </w:pPr>
            <w:r>
              <w:rPr>
                <w:color w:val="000000"/>
                <w:kern w:val="0"/>
                <w:sz w:val="24"/>
              </w:rPr>
              <w:t>序号</w:t>
            </w:r>
          </w:p>
        </w:tc>
        <w:tc>
          <w:tcPr>
            <w:tcW w:w="7516" w:type="dxa"/>
            <w:gridSpan w:val="5"/>
            <w:vAlign w:val="center"/>
          </w:tcPr>
          <w:p>
            <w:pPr>
              <w:widowControl/>
              <w:jc w:val="center"/>
              <w:rPr>
                <w:color w:val="000000"/>
                <w:kern w:val="0"/>
                <w:sz w:val="24"/>
              </w:rPr>
            </w:pPr>
            <w:r>
              <w:rPr>
                <w:color w:val="000000"/>
                <w:kern w:val="0"/>
                <w:sz w:val="24"/>
              </w:rPr>
              <w:t>描述</w:t>
            </w:r>
          </w:p>
        </w:tc>
        <w:tc>
          <w:tcPr>
            <w:tcW w:w="1235" w:type="dxa"/>
            <w:gridSpan w:val="2"/>
            <w:vAlign w:val="center"/>
          </w:tcPr>
          <w:p>
            <w:pPr>
              <w:widowControl/>
              <w:jc w:val="center"/>
              <w:rPr>
                <w:color w:val="000000"/>
                <w:kern w:val="0"/>
                <w:sz w:val="24"/>
              </w:rPr>
            </w:pPr>
            <w:r>
              <w:rPr>
                <w:color w:val="000000"/>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54" w:hRule="atLeast"/>
          <w:jc w:val="center"/>
        </w:trPr>
        <w:tc>
          <w:tcPr>
            <w:tcW w:w="889" w:type="dxa"/>
            <w:gridSpan w:val="2"/>
            <w:vAlign w:val="center"/>
          </w:tcPr>
          <w:p>
            <w:pPr>
              <w:widowControl/>
              <w:jc w:val="center"/>
              <w:rPr>
                <w:rFonts w:ascii="仿宋" w:hAnsi="仿宋" w:eastAsia="仿宋"/>
                <w:color w:val="000000"/>
                <w:kern w:val="0"/>
                <w:sz w:val="24"/>
              </w:rPr>
            </w:pPr>
            <w:r>
              <w:rPr>
                <w:rFonts w:ascii="仿宋" w:hAnsi="仿宋" w:eastAsia="仿宋"/>
                <w:color w:val="000000"/>
                <w:kern w:val="0"/>
                <w:sz w:val="24"/>
              </w:rPr>
              <w:t>1</w:t>
            </w:r>
          </w:p>
        </w:tc>
        <w:tc>
          <w:tcPr>
            <w:tcW w:w="7516" w:type="dxa"/>
            <w:gridSpan w:val="5"/>
            <w:vAlign w:val="center"/>
          </w:tcPr>
          <w:p>
            <w:pPr>
              <w:rPr>
                <w:rFonts w:ascii="仿宋" w:hAnsi="仿宋" w:eastAsia="仿宋"/>
                <w:sz w:val="24"/>
              </w:rPr>
            </w:pPr>
            <w:r>
              <w:rPr>
                <w:rFonts w:hint="eastAsia" w:ascii="仿宋" w:hAnsi="仿宋" w:eastAsia="仿宋"/>
                <w:sz w:val="24"/>
              </w:rPr>
              <w:t>知识产权管理系统软件</w:t>
            </w:r>
          </w:p>
        </w:tc>
        <w:tc>
          <w:tcPr>
            <w:tcW w:w="1235" w:type="dxa"/>
            <w:gridSpan w:val="2"/>
            <w:vAlign w:val="center"/>
          </w:tcPr>
          <w:p>
            <w:pPr>
              <w:widowControl/>
              <w:jc w:val="center"/>
              <w:rPr>
                <w:rFonts w:hint="eastAsia" w:ascii="仿宋" w:hAnsi="仿宋" w:eastAsia="仿宋"/>
                <w:color w:val="000000"/>
                <w:kern w:val="0"/>
                <w:sz w:val="24"/>
                <w:lang w:val="en-US" w:eastAsia="zh-CN"/>
              </w:rPr>
            </w:pPr>
            <w:r>
              <w:rPr>
                <w:rFonts w:ascii="仿宋" w:hAnsi="仿宋" w:eastAsia="仿宋"/>
                <w:color w:val="000000"/>
                <w:kern w:val="0"/>
                <w:sz w:val="24"/>
              </w:rPr>
              <w:t>1</w:t>
            </w:r>
            <w:r>
              <w:rPr>
                <w:rFonts w:hint="eastAsia" w:ascii="仿宋" w:hAnsi="仿宋" w:eastAsia="仿宋"/>
                <w:color w:val="000000"/>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54" w:hRule="atLeast"/>
          <w:jc w:val="center"/>
        </w:trPr>
        <w:tc>
          <w:tcPr>
            <w:tcW w:w="889" w:type="dxa"/>
            <w:gridSpan w:val="2"/>
            <w:vAlign w:val="center"/>
          </w:tcPr>
          <w:p>
            <w:pPr>
              <w:widowControl/>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w:t>
            </w:r>
          </w:p>
        </w:tc>
        <w:tc>
          <w:tcPr>
            <w:tcW w:w="7516" w:type="dxa"/>
            <w:gridSpan w:val="5"/>
            <w:vAlign w:val="center"/>
          </w:tcPr>
          <w:p>
            <w:pPr>
              <w:rPr>
                <w:rFonts w:hint="eastAsia" w:ascii="仿宋" w:hAnsi="仿宋" w:eastAsia="仿宋"/>
                <w:sz w:val="24"/>
                <w:lang w:eastAsia="zh-CN"/>
              </w:rPr>
            </w:pPr>
            <w:r>
              <w:rPr>
                <w:rFonts w:hint="eastAsia" w:ascii="仿宋" w:hAnsi="仿宋" w:eastAsia="仿宋"/>
                <w:sz w:val="24"/>
                <w:lang w:eastAsia="zh-CN"/>
              </w:rPr>
              <w:t>安装实施服务</w:t>
            </w:r>
          </w:p>
        </w:tc>
        <w:tc>
          <w:tcPr>
            <w:tcW w:w="1235" w:type="dxa"/>
            <w:gridSpan w:val="2"/>
            <w:vAlign w:val="center"/>
          </w:tcPr>
          <w:p>
            <w:pPr>
              <w:widowControl/>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56" w:hRule="atLeast"/>
          <w:jc w:val="center"/>
        </w:trPr>
        <w:tc>
          <w:tcPr>
            <w:tcW w:w="9640" w:type="dxa"/>
            <w:gridSpan w:val="9"/>
            <w:vAlign w:val="center"/>
          </w:tcPr>
          <w:p>
            <w:pPr>
              <w:jc w:val="center"/>
              <w:rPr>
                <w:rFonts w:eastAsia="仿宋_GB2312"/>
                <w:b/>
                <w:sz w:val="28"/>
              </w:rPr>
            </w:pPr>
            <w:r>
              <w:rPr>
                <w:rFonts w:eastAsia="仿宋_GB2312"/>
                <w:b/>
                <w:sz w:val="28"/>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eastAsia="仿宋_GB2312"/>
                <w:sz w:val="28"/>
              </w:rPr>
            </w:pPr>
            <w:r>
              <w:rPr>
                <w:rFonts w:eastAsia="仿宋_GB2312"/>
                <w:sz w:val="28"/>
              </w:rPr>
              <w:t>序号</w:t>
            </w:r>
          </w:p>
        </w:tc>
        <w:tc>
          <w:tcPr>
            <w:tcW w:w="2139" w:type="dxa"/>
            <w:gridSpan w:val="2"/>
            <w:vAlign w:val="center"/>
          </w:tcPr>
          <w:p>
            <w:pPr>
              <w:jc w:val="center"/>
              <w:rPr>
                <w:rFonts w:eastAsia="仿宋_GB2312"/>
                <w:sz w:val="28"/>
              </w:rPr>
            </w:pPr>
            <w:r>
              <w:rPr>
                <w:rFonts w:eastAsia="仿宋_GB2312"/>
                <w:sz w:val="28"/>
              </w:rPr>
              <w:t>指标名称</w:t>
            </w:r>
          </w:p>
        </w:tc>
        <w:tc>
          <w:tcPr>
            <w:tcW w:w="6612" w:type="dxa"/>
            <w:gridSpan w:val="5"/>
            <w:vAlign w:val="center"/>
          </w:tcPr>
          <w:p>
            <w:pPr>
              <w:jc w:val="center"/>
              <w:rPr>
                <w:rFonts w:eastAsia="华文细黑"/>
                <w:sz w:val="24"/>
              </w:rPr>
            </w:pPr>
            <w:r>
              <w:rPr>
                <w:rFonts w:eastAsia="华文细黑"/>
                <w:sz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889" w:type="dxa"/>
            <w:gridSpan w:val="2"/>
          </w:tcPr>
          <w:p>
            <w:pPr>
              <w:jc w:val="center"/>
              <w:rPr>
                <w:rFonts w:ascii="仿宋" w:hAnsi="仿宋" w:eastAsia="仿宋"/>
                <w:sz w:val="28"/>
              </w:rPr>
            </w:pPr>
            <w:r>
              <w:rPr>
                <w:rFonts w:ascii="仿宋" w:hAnsi="仿宋" w:eastAsia="仿宋"/>
                <w:sz w:val="28"/>
              </w:rPr>
              <w:t>1</w:t>
            </w:r>
          </w:p>
        </w:tc>
        <w:tc>
          <w:tcPr>
            <w:tcW w:w="2139" w:type="dxa"/>
            <w:gridSpan w:val="2"/>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门户平台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（门户管理）</w:t>
            </w:r>
          </w:p>
        </w:tc>
        <w:tc>
          <w:tcPr>
            <w:tcW w:w="6612" w:type="dxa"/>
            <w:gridSpan w:val="5"/>
          </w:tcPr>
          <w:p>
            <w:pPr>
              <w:numPr>
                <w:ilvl w:val="0"/>
                <w:numId w:val="1"/>
              </w:numPr>
              <w:rPr>
                <w:rFonts w:ascii="仿宋" w:hAnsi="仿宋" w:eastAsia="仿宋"/>
              </w:rPr>
            </w:pPr>
            <w:r>
              <w:rPr>
                <w:rFonts w:ascii="仿宋" w:hAnsi="仿宋" w:eastAsia="仿宋"/>
                <w:sz w:val="24"/>
              </w:rPr>
              <w:t>首页既是工作台，方便用户能够快速处理业务，又是知识产权的资讯与数据平台，方便进行知识产权文化建设和实时掌握宏观数据；</w:t>
            </w:r>
          </w:p>
          <w:p>
            <w:pPr>
              <w:numPr>
                <w:ilvl w:val="0"/>
                <w:numId w:val="1"/>
              </w:numPr>
              <w:rPr>
                <w:rFonts w:ascii="仿宋" w:hAnsi="仿宋" w:eastAsia="仿宋"/>
              </w:rPr>
            </w:pPr>
            <w:r>
              <w:rPr>
                <w:rFonts w:ascii="仿宋" w:hAnsi="仿宋" w:eastAsia="仿宋"/>
                <w:sz w:val="24"/>
              </w:rPr>
              <w:t>支持将常用操作放置于首页供科研人员快速发起专利申请，支持将各类待办放置于首页供使用人员能够快速进行审批；</w:t>
            </w:r>
          </w:p>
          <w:p>
            <w:pPr>
              <w:numPr>
                <w:ilvl w:val="0"/>
                <w:numId w:val="1"/>
              </w:numPr>
              <w:rPr>
                <w:rFonts w:ascii="仿宋" w:hAnsi="仿宋" w:eastAsia="仿宋"/>
              </w:rPr>
            </w:pPr>
            <w:r>
              <w:rPr>
                <w:rFonts w:ascii="仿宋" w:hAnsi="仿宋" w:eastAsia="仿宋"/>
                <w:sz w:val="24"/>
              </w:rPr>
              <w:t>支持将常用的统计数据置于首页，供使用人员能够快速获取数据，掌握知识产权的宏观数据情况；</w:t>
            </w:r>
          </w:p>
          <w:p>
            <w:pPr>
              <w:numPr>
                <w:ilvl w:val="0"/>
                <w:numId w:val="1"/>
              </w:numPr>
              <w:rPr>
                <w:rFonts w:ascii="仿宋" w:hAnsi="仿宋" w:eastAsia="仿宋"/>
              </w:rPr>
            </w:pPr>
            <w:r>
              <w:rPr>
                <w:rFonts w:ascii="仿宋" w:hAnsi="仿宋" w:eastAsia="仿宋"/>
                <w:sz w:val="24"/>
              </w:rPr>
              <w:t>支持将期限监控的数据置于首页；</w:t>
            </w:r>
          </w:p>
          <w:p>
            <w:pPr>
              <w:numPr>
                <w:ilvl w:val="0"/>
                <w:numId w:val="1"/>
              </w:numPr>
              <w:rPr>
                <w:rFonts w:ascii="仿宋" w:hAnsi="仿宋" w:eastAsia="仿宋"/>
              </w:rPr>
            </w:pPr>
            <w:r>
              <w:rPr>
                <w:rFonts w:ascii="仿宋" w:hAnsi="仿宋" w:eastAsia="仿宋"/>
                <w:sz w:val="24"/>
              </w:rPr>
              <w:t>支持发布通知公告在首页，支持上传各类模板在首页供科研人员下载。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1905"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2</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创造平台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（提案管理）</w:t>
            </w:r>
          </w:p>
        </w:tc>
        <w:tc>
          <w:tcPr>
            <w:tcW w:w="6612" w:type="dxa"/>
            <w:gridSpan w:val="5"/>
            <w:vAlign w:val="center"/>
          </w:tcPr>
          <w:p>
            <w:pPr>
              <w:numPr>
                <w:ilvl w:val="0"/>
                <w:numId w:val="2"/>
              </w:numPr>
              <w:rPr>
                <w:rFonts w:ascii="仿宋" w:hAnsi="仿宋" w:eastAsia="仿宋"/>
                <w:sz w:val="24"/>
              </w:rPr>
            </w:pPr>
            <w:r>
              <w:rPr>
                <w:rFonts w:ascii="仿宋" w:hAnsi="仿宋" w:eastAsia="仿宋"/>
                <w:sz w:val="24"/>
              </w:rPr>
              <w:t>线上填写提案基本信息、上传技术交底书等相关附件（上传文件格式不限制）；</w:t>
            </w:r>
          </w:p>
          <w:p>
            <w:pPr>
              <w:numPr>
                <w:ilvl w:val="0"/>
                <w:numId w:val="2"/>
              </w:numPr>
              <w:rPr>
                <w:rFonts w:ascii="仿宋" w:hAnsi="仿宋" w:eastAsia="仿宋"/>
                <w:sz w:val="24"/>
              </w:rPr>
            </w:pPr>
            <w:r>
              <w:rPr>
                <w:rFonts w:ascii="仿宋" w:hAnsi="仿宋" w:eastAsia="仿宋"/>
                <w:sz w:val="24"/>
              </w:rPr>
              <w:t>在线填写技术应用情况、产权归属；</w:t>
            </w:r>
          </w:p>
          <w:p>
            <w:pPr>
              <w:numPr>
                <w:ilvl w:val="0"/>
                <w:numId w:val="2"/>
              </w:numPr>
              <w:rPr>
                <w:rFonts w:ascii="仿宋" w:hAnsi="仿宋" w:eastAsia="仿宋"/>
                <w:sz w:val="24"/>
              </w:rPr>
            </w:pPr>
            <w:r>
              <w:rPr>
                <w:rFonts w:ascii="仿宋" w:hAnsi="仿宋" w:eastAsia="仿宋"/>
                <w:sz w:val="24"/>
              </w:rPr>
              <w:t>提案人提案后，不可再次修改，管理员可以进行后期的修改或者流程退回由提案人修改；</w:t>
            </w:r>
          </w:p>
          <w:p>
            <w:pPr>
              <w:numPr>
                <w:ilvl w:val="0"/>
                <w:numId w:val="2"/>
              </w:numPr>
              <w:rPr>
                <w:rFonts w:ascii="仿宋" w:hAnsi="仿宋" w:eastAsia="仿宋"/>
                <w:sz w:val="24"/>
              </w:rPr>
            </w:pPr>
            <w:r>
              <w:rPr>
                <w:rFonts w:ascii="仿宋" w:hAnsi="仿宋" w:eastAsia="仿宋"/>
                <w:sz w:val="24"/>
              </w:rPr>
              <w:t>全流程都有邮件和系统提示相关人员；</w:t>
            </w:r>
          </w:p>
          <w:p>
            <w:pPr>
              <w:numPr>
                <w:ilvl w:val="0"/>
                <w:numId w:val="2"/>
              </w:numPr>
              <w:rPr>
                <w:rFonts w:ascii="仿宋" w:hAnsi="仿宋" w:eastAsia="仿宋"/>
                <w:sz w:val="24"/>
              </w:rPr>
            </w:pPr>
            <w:r>
              <w:rPr>
                <w:rFonts w:ascii="仿宋" w:hAnsi="仿宋" w:eastAsia="仿宋"/>
                <w:sz w:val="24"/>
              </w:rPr>
              <w:t>提案支持同时申请多个国家，通过后自动新增专利案件；</w:t>
            </w:r>
          </w:p>
          <w:p>
            <w:pPr>
              <w:numPr>
                <w:ilvl w:val="0"/>
                <w:numId w:val="2"/>
              </w:numPr>
              <w:rPr>
                <w:rFonts w:ascii="仿宋" w:hAnsi="仿宋" w:eastAsia="仿宋"/>
                <w:sz w:val="24"/>
              </w:rPr>
            </w:pPr>
            <w:r>
              <w:rPr>
                <w:rFonts w:ascii="仿宋" w:hAnsi="仿宋" w:eastAsia="仿宋"/>
                <w:sz w:val="24"/>
              </w:rPr>
              <w:t>提案人仅可看到自己的提案状态与进程；可以查看已经授权或公开的案件；</w:t>
            </w:r>
          </w:p>
          <w:p>
            <w:pPr>
              <w:numPr>
                <w:ilvl w:val="0"/>
                <w:numId w:val="2"/>
              </w:numPr>
              <w:rPr>
                <w:rFonts w:ascii="仿宋" w:hAnsi="仿宋" w:eastAsia="仿宋"/>
                <w:sz w:val="24"/>
              </w:rPr>
            </w:pPr>
            <w:r>
              <w:rPr>
                <w:rFonts w:ascii="仿宋" w:hAnsi="仿宋" w:eastAsia="仿宋"/>
                <w:sz w:val="24"/>
              </w:rPr>
              <w:t>管理层可以查看权限范围内提案信息</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3</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创造平台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（专利管理）</w:t>
            </w:r>
          </w:p>
        </w:tc>
        <w:tc>
          <w:tcPr>
            <w:tcW w:w="6612" w:type="dxa"/>
            <w:gridSpan w:val="5"/>
            <w:vAlign w:val="center"/>
          </w:tcPr>
          <w:p>
            <w:pPr>
              <w:numPr>
                <w:ilvl w:val="0"/>
                <w:numId w:val="3"/>
              </w:numPr>
              <w:rPr>
                <w:rFonts w:ascii="仿宋" w:hAnsi="仿宋" w:eastAsia="仿宋"/>
                <w:sz w:val="24"/>
              </w:rPr>
            </w:pPr>
            <w:r>
              <w:rPr>
                <w:rFonts w:ascii="仿宋" w:hAnsi="仿宋" w:eastAsia="仿宋"/>
                <w:sz w:val="24"/>
              </w:rPr>
              <w:t>支持受理、补正、答复审查意见、驳回、复审、授权办登、取得证书、缴纳年费、专利终止等全生命周期的知识产权流程管理；</w:t>
            </w:r>
          </w:p>
          <w:p>
            <w:pPr>
              <w:numPr>
                <w:ilvl w:val="0"/>
                <w:numId w:val="3"/>
              </w:numPr>
              <w:rPr>
                <w:rFonts w:ascii="仿宋" w:hAnsi="仿宋" w:eastAsia="仿宋"/>
                <w:sz w:val="24"/>
              </w:rPr>
            </w:pPr>
            <w:r>
              <w:rPr>
                <w:rFonts w:ascii="仿宋" w:hAnsi="仿宋" w:eastAsia="仿宋"/>
                <w:sz w:val="24"/>
              </w:rPr>
              <w:t>专利台账列表展示企业的所有专利资产，表头支持自定义显示的字段和调整字段的排序；</w:t>
            </w:r>
          </w:p>
          <w:p>
            <w:pPr>
              <w:numPr>
                <w:ilvl w:val="0"/>
                <w:numId w:val="3"/>
              </w:numPr>
              <w:rPr>
                <w:rFonts w:ascii="仿宋" w:hAnsi="仿宋" w:eastAsia="仿宋"/>
                <w:sz w:val="24"/>
              </w:rPr>
            </w:pPr>
            <w:r>
              <w:rPr>
                <w:rFonts w:ascii="仿宋" w:hAnsi="仿宋" w:eastAsia="仿宋"/>
                <w:sz w:val="24"/>
              </w:rPr>
              <w:t>管理专利的基本信息，包括但不限于申请号、申请日、案件名称、案件编号、提案名称、提案编号、提案部门、部门领导、所属项目、技术领域、产品领域，支持增加新的字段；</w:t>
            </w:r>
          </w:p>
          <w:p>
            <w:pPr>
              <w:numPr>
                <w:ilvl w:val="0"/>
                <w:numId w:val="3"/>
              </w:numPr>
              <w:rPr>
                <w:rFonts w:ascii="仿宋" w:hAnsi="仿宋" w:eastAsia="仿宋"/>
                <w:sz w:val="24"/>
              </w:rPr>
            </w:pPr>
            <w:r>
              <w:rPr>
                <w:rFonts w:ascii="仿宋" w:hAnsi="仿宋" w:eastAsia="仿宋"/>
                <w:sz w:val="24"/>
              </w:rPr>
              <w:t>管理专利的所有文档，包括但不限于内部文档、官方来文、递交文件、代理所往来、费用票据；</w:t>
            </w:r>
          </w:p>
          <w:p>
            <w:pPr>
              <w:numPr>
                <w:ilvl w:val="0"/>
                <w:numId w:val="3"/>
              </w:numPr>
              <w:rPr>
                <w:rFonts w:ascii="仿宋" w:hAnsi="仿宋" w:eastAsia="仿宋"/>
                <w:sz w:val="24"/>
              </w:rPr>
            </w:pPr>
            <w:r>
              <w:rPr>
                <w:rFonts w:ascii="仿宋" w:hAnsi="仿宋" w:eastAsia="仿宋"/>
                <w:sz w:val="24"/>
              </w:rPr>
              <w:t>管理专利的所有费用，包括官费、代理费、奖金；</w:t>
            </w:r>
          </w:p>
          <w:p>
            <w:pPr>
              <w:numPr>
                <w:ilvl w:val="0"/>
                <w:numId w:val="3"/>
              </w:numPr>
              <w:rPr>
                <w:rFonts w:ascii="仿宋" w:hAnsi="仿宋" w:eastAsia="仿宋"/>
                <w:sz w:val="24"/>
              </w:rPr>
            </w:pPr>
            <w:r>
              <w:rPr>
                <w:rFonts w:ascii="仿宋" w:hAnsi="仿宋" w:eastAsia="仿宋"/>
                <w:sz w:val="24"/>
              </w:rPr>
              <w:t>管理专利相关的流程，可以记录所有节点当时录入或者修改的客观信息；</w:t>
            </w:r>
          </w:p>
          <w:p>
            <w:pPr>
              <w:numPr>
                <w:ilvl w:val="0"/>
                <w:numId w:val="3"/>
              </w:numPr>
              <w:rPr>
                <w:rFonts w:ascii="仿宋" w:hAnsi="仿宋" w:eastAsia="仿宋"/>
                <w:sz w:val="24"/>
              </w:rPr>
            </w:pPr>
            <w:r>
              <w:rPr>
                <w:rFonts w:ascii="仿宋" w:hAnsi="仿宋" w:eastAsia="仿宋"/>
                <w:sz w:val="24"/>
              </w:rPr>
              <w:t>管理专利的相关案件，可以看到案件之间的关联关系以及关联案件的基本信息，支持以图谱的方式展示；</w:t>
            </w:r>
          </w:p>
          <w:p>
            <w:pPr>
              <w:numPr>
                <w:ilvl w:val="0"/>
                <w:numId w:val="3"/>
              </w:numPr>
              <w:rPr>
                <w:rFonts w:ascii="仿宋" w:hAnsi="仿宋" w:eastAsia="仿宋"/>
                <w:sz w:val="24"/>
              </w:rPr>
            </w:pPr>
            <w:r>
              <w:rPr>
                <w:rFonts w:ascii="仿宋" w:hAnsi="仿宋" w:eastAsia="仿宋"/>
                <w:sz w:val="24"/>
              </w:rPr>
              <w:t>支持按照案件编号、申请号、发明人、申请人进行批量查询、导入，导出。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4</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管理平台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（质量管理）</w:t>
            </w:r>
          </w:p>
        </w:tc>
        <w:tc>
          <w:tcPr>
            <w:tcW w:w="6612" w:type="dxa"/>
            <w:gridSpan w:val="5"/>
            <w:vAlign w:val="center"/>
          </w:tcPr>
          <w:p>
            <w:pPr>
              <w:numPr>
                <w:ilvl w:val="0"/>
                <w:numId w:val="4"/>
              </w:numPr>
              <w:rPr>
                <w:rFonts w:ascii="仿宋" w:hAnsi="仿宋" w:eastAsia="仿宋"/>
                <w:sz w:val="24"/>
              </w:rPr>
            </w:pPr>
            <w:r>
              <w:rPr>
                <w:rFonts w:ascii="仿宋" w:hAnsi="仿宋" w:eastAsia="仿宋"/>
                <w:sz w:val="24"/>
              </w:rPr>
              <w:t>建立专利提案质量审核机制，建立从课题专家到知产主管部门多层级审批环节，审批流程可自定义设置并可修改；</w:t>
            </w:r>
          </w:p>
          <w:p>
            <w:pPr>
              <w:numPr>
                <w:ilvl w:val="0"/>
                <w:numId w:val="4"/>
              </w:numPr>
              <w:rPr>
                <w:rFonts w:ascii="仿宋" w:hAnsi="仿宋" w:eastAsia="仿宋"/>
                <w:sz w:val="24"/>
              </w:rPr>
            </w:pPr>
            <w:r>
              <w:rPr>
                <w:rFonts w:ascii="仿宋" w:hAnsi="仿宋" w:eastAsia="仿宋"/>
                <w:sz w:val="24"/>
              </w:rPr>
              <w:t>建立专利代理机构质量评估模型，可从案件撰写质量、服务水平、响应速度等角度评议分析，记录案件整体质量情况，并可形成质量评分报表</w:t>
            </w:r>
            <w:r>
              <w:rPr>
                <w:rFonts w:hint="eastAsia" w:ascii="仿宋" w:hAnsi="仿宋" w:eastAsia="仿宋"/>
                <w:sz w:val="24"/>
              </w:rPr>
              <w:t>；</w:t>
            </w:r>
          </w:p>
          <w:p>
            <w:pPr>
              <w:numPr>
                <w:ilvl w:val="0"/>
                <w:numId w:val="4"/>
              </w:numPr>
              <w:rPr>
                <w:rFonts w:ascii="仿宋" w:hAnsi="仿宋" w:eastAsia="仿宋"/>
                <w:sz w:val="24"/>
              </w:rPr>
            </w:pPr>
            <w:r>
              <w:rPr>
                <w:rFonts w:ascii="仿宋" w:hAnsi="仿宋" w:eastAsia="仿宋"/>
                <w:sz w:val="24"/>
              </w:rPr>
              <w:t>自定义专利分级分类评估模板，提供技术、市场等多层级打分维度/指标，支持多种评估组件（打分、填分、答题），自定义评估流程，用户审批实时打分，计算分值信息，根据最终分值进行等级评定；</w:t>
            </w:r>
          </w:p>
          <w:p>
            <w:pPr>
              <w:numPr>
                <w:ilvl w:val="0"/>
                <w:numId w:val="4"/>
              </w:numPr>
              <w:rPr>
                <w:rFonts w:ascii="仿宋" w:hAnsi="仿宋" w:eastAsia="仿宋"/>
                <w:sz w:val="24"/>
              </w:rPr>
            </w:pPr>
            <w:r>
              <w:rPr>
                <w:rFonts w:hint="eastAsia" w:ascii="仿宋" w:hAnsi="仿宋" w:eastAsia="仿宋"/>
                <w:sz w:val="24"/>
              </w:rPr>
              <w:t>支持在系统内通过关键词进行检索，以避免相似或者重复申请，检索的范围包括系统内提案、案件的名称、技术领域、产品领域、所属项目、技术交底书、说明书，权利要求书，检索文件类型包括：word、pdf</w:t>
            </w:r>
            <w:r>
              <w:rPr>
                <w:rFonts w:ascii="仿宋" w:hAnsi="仿宋" w:eastAsia="仿宋"/>
                <w:sz w:val="24"/>
              </w:rPr>
              <w:t>；</w:t>
            </w:r>
          </w:p>
          <w:p>
            <w:pPr>
              <w:numPr>
                <w:ilvl w:val="0"/>
                <w:numId w:val="4"/>
              </w:numPr>
              <w:rPr>
                <w:rFonts w:ascii="仿宋" w:hAnsi="仿宋" w:eastAsia="仿宋"/>
                <w:sz w:val="24"/>
              </w:rPr>
            </w:pPr>
            <w:r>
              <w:rPr>
                <w:rFonts w:ascii="仿宋" w:hAnsi="仿宋" w:eastAsia="仿宋"/>
                <w:sz w:val="24"/>
              </w:rPr>
              <w:t>线上接入专利检索系统，在线进行语义查新检索并关联保存至相关案件的内部查重记录中</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5</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管理平台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（专利评估管理）</w:t>
            </w:r>
          </w:p>
        </w:tc>
        <w:tc>
          <w:tcPr>
            <w:tcW w:w="6612" w:type="dxa"/>
            <w:gridSpan w:val="5"/>
            <w:vAlign w:val="center"/>
          </w:tcPr>
          <w:p>
            <w:pPr>
              <w:numPr>
                <w:ilvl w:val="0"/>
                <w:numId w:val="5"/>
              </w:numPr>
              <w:rPr>
                <w:rFonts w:ascii="仿宋" w:hAnsi="仿宋" w:eastAsia="仿宋"/>
                <w:sz w:val="24"/>
              </w:rPr>
            </w:pPr>
            <w:r>
              <w:rPr>
                <w:rFonts w:ascii="仿宋" w:hAnsi="仿宋" w:eastAsia="仿宋"/>
                <w:sz w:val="24"/>
              </w:rPr>
              <w:t>专利申请各阶段可在线启动评估流程，包括但不限于申请前评估、主动修改评估、授权评估、分案/连续案评估、PCT申请评估、巴黎公约评估、专利价值评估、年费维持评估等；</w:t>
            </w:r>
          </w:p>
          <w:p>
            <w:pPr>
              <w:numPr>
                <w:ilvl w:val="0"/>
                <w:numId w:val="5"/>
              </w:numPr>
              <w:rPr>
                <w:rFonts w:ascii="仿宋" w:hAnsi="仿宋" w:eastAsia="仿宋"/>
                <w:sz w:val="24"/>
              </w:rPr>
            </w:pPr>
            <w:r>
              <w:rPr>
                <w:rFonts w:ascii="仿宋" w:hAnsi="仿宋" w:eastAsia="仿宋"/>
                <w:sz w:val="24"/>
              </w:rPr>
              <w:t>支持按照用户的维度、指标和权重来设置评估模型，支持加总、求平均值等计分模式，实现定期评估专利，实现专利的分级分类管理；</w:t>
            </w:r>
          </w:p>
          <w:p>
            <w:pPr>
              <w:numPr>
                <w:ilvl w:val="0"/>
                <w:numId w:val="5"/>
              </w:numPr>
              <w:rPr>
                <w:rFonts w:ascii="仿宋" w:hAnsi="仿宋" w:eastAsia="仿宋"/>
                <w:sz w:val="24"/>
              </w:rPr>
            </w:pPr>
            <w:r>
              <w:rPr>
                <w:rFonts w:ascii="仿宋" w:hAnsi="仿宋" w:eastAsia="仿宋"/>
                <w:sz w:val="24"/>
              </w:rPr>
              <w:t>各评审环节支持邮件提醒；</w:t>
            </w:r>
          </w:p>
          <w:p>
            <w:pPr>
              <w:numPr>
                <w:ilvl w:val="0"/>
                <w:numId w:val="5"/>
              </w:numPr>
              <w:rPr>
                <w:rFonts w:ascii="仿宋" w:hAnsi="仿宋" w:eastAsia="仿宋"/>
                <w:sz w:val="24"/>
              </w:rPr>
            </w:pPr>
            <w:r>
              <w:rPr>
                <w:rFonts w:ascii="仿宋" w:hAnsi="仿宋" w:eastAsia="仿宋"/>
                <w:sz w:val="24"/>
              </w:rPr>
              <w:t>支持预置常用的评估模板；</w:t>
            </w:r>
          </w:p>
          <w:p>
            <w:pPr>
              <w:numPr>
                <w:ilvl w:val="0"/>
                <w:numId w:val="5"/>
              </w:numPr>
              <w:rPr>
                <w:rFonts w:ascii="仿宋" w:hAnsi="仿宋" w:eastAsia="仿宋"/>
                <w:sz w:val="24"/>
              </w:rPr>
            </w:pPr>
            <w:r>
              <w:rPr>
                <w:rFonts w:ascii="仿宋" w:hAnsi="仿宋" w:eastAsia="仿宋"/>
                <w:sz w:val="24"/>
              </w:rPr>
              <w:t>支持技术评审专家驳回功能，技术评审专家驳回的案件后续IPR评审环节可见，且可进行退回至评审专家处操作；</w:t>
            </w:r>
          </w:p>
          <w:p>
            <w:pPr>
              <w:numPr>
                <w:ilvl w:val="0"/>
                <w:numId w:val="5"/>
              </w:numPr>
              <w:rPr>
                <w:rFonts w:ascii="仿宋" w:hAnsi="仿宋" w:eastAsia="仿宋"/>
                <w:sz w:val="24"/>
              </w:rPr>
            </w:pPr>
            <w:r>
              <w:rPr>
                <w:rFonts w:ascii="仿宋" w:hAnsi="仿宋" w:eastAsia="仿宋"/>
                <w:sz w:val="24"/>
              </w:rPr>
              <w:t>可以配置不同院系的提案人提交的案件由不同的评审专家评审；</w:t>
            </w:r>
          </w:p>
          <w:p>
            <w:pPr>
              <w:numPr>
                <w:ilvl w:val="0"/>
                <w:numId w:val="5"/>
              </w:numPr>
              <w:rPr>
                <w:rFonts w:ascii="仿宋" w:hAnsi="仿宋" w:eastAsia="仿宋"/>
                <w:sz w:val="24"/>
              </w:rPr>
            </w:pPr>
            <w:r>
              <w:rPr>
                <w:rFonts w:ascii="仿宋" w:hAnsi="仿宋" w:eastAsia="仿宋"/>
                <w:sz w:val="24"/>
              </w:rPr>
              <w:t>支持加签等评审操作。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6</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管理平台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（费用管理）</w:t>
            </w:r>
          </w:p>
        </w:tc>
        <w:tc>
          <w:tcPr>
            <w:tcW w:w="6612" w:type="dxa"/>
            <w:gridSpan w:val="5"/>
            <w:vAlign w:val="center"/>
          </w:tcPr>
          <w:p>
            <w:pPr>
              <w:numPr>
                <w:ilvl w:val="0"/>
                <w:numId w:val="6"/>
              </w:numPr>
              <w:rPr>
                <w:rFonts w:ascii="仿宋" w:hAnsi="仿宋" w:eastAsia="仿宋"/>
                <w:sz w:val="24"/>
              </w:rPr>
            </w:pPr>
            <w:r>
              <w:rPr>
                <w:rFonts w:ascii="仿宋" w:hAnsi="仿宋" w:eastAsia="仿宋"/>
                <w:sz w:val="24"/>
              </w:rPr>
              <w:t>对专利的官费进行管理，可根据事项规则自动生成中国及PCT国际的专利费用；</w:t>
            </w:r>
          </w:p>
          <w:p>
            <w:pPr>
              <w:numPr>
                <w:ilvl w:val="0"/>
                <w:numId w:val="6"/>
              </w:numPr>
              <w:rPr>
                <w:rFonts w:ascii="仿宋" w:hAnsi="仿宋" w:eastAsia="仿宋"/>
                <w:sz w:val="24"/>
              </w:rPr>
            </w:pPr>
            <w:r>
              <w:rPr>
                <w:rFonts w:ascii="仿宋" w:hAnsi="仿宋" w:eastAsia="仿宋"/>
                <w:sz w:val="24"/>
              </w:rPr>
              <w:t>对专利的代理费进行管理，可灵活配置代理费模板，包括国内外、事项、代理机构、费用阶段、申请类型、一案双申等维度；</w:t>
            </w:r>
          </w:p>
          <w:p>
            <w:pPr>
              <w:numPr>
                <w:ilvl w:val="0"/>
                <w:numId w:val="6"/>
              </w:numPr>
              <w:rPr>
                <w:rFonts w:ascii="仿宋" w:hAnsi="仿宋" w:eastAsia="仿宋"/>
                <w:sz w:val="24"/>
              </w:rPr>
            </w:pPr>
            <w:r>
              <w:rPr>
                <w:rFonts w:ascii="仿宋" w:hAnsi="仿宋" w:eastAsia="仿宋"/>
                <w:sz w:val="24"/>
              </w:rPr>
              <w:t>可查看国内外费用清单列表、包括代理费、申请费，可导入、导出专利费用；</w:t>
            </w:r>
          </w:p>
          <w:p>
            <w:pPr>
              <w:numPr>
                <w:ilvl w:val="0"/>
                <w:numId w:val="6"/>
              </w:numPr>
              <w:rPr>
                <w:rFonts w:ascii="仿宋" w:hAnsi="仿宋" w:eastAsia="仿宋"/>
                <w:sz w:val="24"/>
              </w:rPr>
            </w:pPr>
            <w:r>
              <w:rPr>
                <w:rFonts w:ascii="仿宋" w:hAnsi="仿宋" w:eastAsia="仿宋"/>
                <w:sz w:val="24"/>
              </w:rPr>
              <w:t>对国内案件或PCT国际案件的费用建立生成账单或导入国外案件的账单，支持账单核销流程；</w:t>
            </w:r>
          </w:p>
          <w:p>
            <w:pPr>
              <w:numPr>
                <w:ilvl w:val="0"/>
                <w:numId w:val="6"/>
              </w:numPr>
              <w:rPr>
                <w:rFonts w:ascii="仿宋" w:hAnsi="仿宋" w:eastAsia="仿宋"/>
                <w:sz w:val="24"/>
              </w:rPr>
            </w:pPr>
            <w:r>
              <w:rPr>
                <w:rFonts w:ascii="仿宋" w:hAnsi="仿宋" w:eastAsia="仿宋"/>
                <w:sz w:val="24"/>
              </w:rPr>
              <w:t>可生成、查看中国专利案件当年和明年的年费预算，显示对未缴纳的各类费用提醒通知；</w:t>
            </w:r>
          </w:p>
          <w:p>
            <w:pPr>
              <w:numPr>
                <w:ilvl w:val="0"/>
                <w:numId w:val="6"/>
              </w:numPr>
              <w:rPr>
                <w:rFonts w:ascii="仿宋" w:hAnsi="仿宋" w:eastAsia="仿宋"/>
                <w:sz w:val="24"/>
              </w:rPr>
            </w:pPr>
            <w:r>
              <w:rPr>
                <w:rFonts w:ascii="仿宋" w:hAnsi="仿宋" w:eastAsia="仿宋"/>
                <w:sz w:val="24"/>
              </w:rPr>
              <w:t>可设置奖金类型（申请奖、授权奖等）和奖金规则、奖金分配方式、离职人员发放方式，可批量生成奖金项和奖金明细，可批量发起奖金审核和确认流程。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7</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协同平台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（代理协同）</w:t>
            </w:r>
          </w:p>
        </w:tc>
        <w:tc>
          <w:tcPr>
            <w:tcW w:w="6612" w:type="dxa"/>
            <w:gridSpan w:val="5"/>
            <w:vAlign w:val="center"/>
          </w:tcPr>
          <w:p>
            <w:pPr>
              <w:numPr>
                <w:ilvl w:val="0"/>
                <w:numId w:val="7"/>
              </w:numPr>
              <w:rPr>
                <w:rFonts w:ascii="仿宋" w:hAnsi="仿宋" w:eastAsia="仿宋"/>
                <w:sz w:val="24"/>
              </w:rPr>
            </w:pPr>
            <w:r>
              <w:rPr>
                <w:rFonts w:ascii="仿宋" w:hAnsi="仿宋" w:eastAsia="仿宋"/>
                <w:sz w:val="24"/>
              </w:rPr>
              <w:t>管理代理机构、代理人信息，支持线上协同办公，实现线上委案、核稿、转达官文、请款缴费等，支持自定义代理人等级、擅长领域；</w:t>
            </w:r>
          </w:p>
          <w:p>
            <w:pPr>
              <w:numPr>
                <w:ilvl w:val="0"/>
                <w:numId w:val="7"/>
              </w:numPr>
              <w:rPr>
                <w:rFonts w:ascii="仿宋" w:hAnsi="仿宋" w:eastAsia="仿宋"/>
                <w:sz w:val="24"/>
              </w:rPr>
            </w:pPr>
            <w:r>
              <w:rPr>
                <w:rFonts w:ascii="仿宋" w:hAnsi="仿宋" w:eastAsia="仿宋"/>
                <w:sz w:val="24"/>
              </w:rPr>
              <w:t>支持按照维度、指标和权重来评价代理机构/代理人，支持多种加总、求平均值等计分模式，实现代理机构管理的量化；</w:t>
            </w:r>
          </w:p>
          <w:p>
            <w:pPr>
              <w:numPr>
                <w:ilvl w:val="0"/>
                <w:numId w:val="7"/>
              </w:numPr>
              <w:rPr>
                <w:rFonts w:ascii="仿宋" w:hAnsi="仿宋" w:eastAsia="仿宋"/>
                <w:sz w:val="24"/>
              </w:rPr>
            </w:pPr>
            <w:r>
              <w:rPr>
                <w:rFonts w:ascii="仿宋" w:hAnsi="仿宋" w:eastAsia="仿宋"/>
                <w:sz w:val="24"/>
              </w:rPr>
              <w:t>代理机构端数据与用户端数据进行逻辑隔离，权限可以精确到同一代理机构的不同代理人只能查阅自己的案件。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61"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8</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运营平台</w:t>
            </w:r>
          </w:p>
          <w:p>
            <w:pPr>
              <w:jc w:val="center"/>
              <w:rPr>
                <w:rFonts w:ascii="仿宋" w:hAnsi="仿宋" w:eastAsia="仿宋"/>
                <w:sz w:val="28"/>
              </w:rPr>
            </w:pPr>
            <w:r>
              <w:rPr>
                <w:rFonts w:ascii="仿宋" w:hAnsi="仿宋" w:eastAsia="仿宋"/>
                <w:sz w:val="28"/>
              </w:rPr>
              <w:t>（知识产权成果分级管理）</w:t>
            </w:r>
          </w:p>
        </w:tc>
        <w:tc>
          <w:tcPr>
            <w:tcW w:w="6612" w:type="dxa"/>
            <w:gridSpan w:val="5"/>
            <w:vAlign w:val="center"/>
          </w:tcPr>
          <w:p>
            <w:pPr>
              <w:numPr>
                <w:ilvl w:val="0"/>
                <w:numId w:val="8"/>
              </w:numPr>
              <w:rPr>
                <w:rFonts w:ascii="仿宋" w:hAnsi="仿宋" w:eastAsia="仿宋"/>
                <w:sz w:val="24"/>
              </w:rPr>
            </w:pPr>
            <w:r>
              <w:rPr>
                <w:rFonts w:ascii="仿宋" w:hAnsi="仿宋" w:eastAsia="仿宋"/>
                <w:sz w:val="24"/>
              </w:rPr>
              <w:t>实现知识产权成果分级管理，可发起知识产权成果评估；</w:t>
            </w:r>
          </w:p>
          <w:p>
            <w:pPr>
              <w:numPr>
                <w:ilvl w:val="0"/>
                <w:numId w:val="8"/>
              </w:numPr>
              <w:rPr>
                <w:rFonts w:ascii="仿宋" w:hAnsi="仿宋" w:eastAsia="仿宋"/>
                <w:sz w:val="24"/>
              </w:rPr>
            </w:pPr>
            <w:r>
              <w:rPr>
                <w:rFonts w:ascii="仿宋" w:hAnsi="仿宋" w:eastAsia="仿宋"/>
                <w:sz w:val="24"/>
              </w:rPr>
              <w:t>提供成果分级评估多层级打分维度/指标，多种评估组件（打分、填分、答题），可生成多维度评估模板、流程及表单可灵活配置；</w:t>
            </w:r>
          </w:p>
          <w:p>
            <w:pPr>
              <w:numPr>
                <w:ilvl w:val="0"/>
                <w:numId w:val="8"/>
              </w:numPr>
              <w:rPr>
                <w:rFonts w:ascii="仿宋" w:hAnsi="仿宋" w:eastAsia="仿宋"/>
                <w:sz w:val="24"/>
              </w:rPr>
            </w:pPr>
            <w:r>
              <w:rPr>
                <w:rFonts w:ascii="仿宋" w:hAnsi="仿宋" w:eastAsia="仿宋"/>
                <w:sz w:val="24"/>
              </w:rPr>
              <w:t>可以建立专家及专家组，支持评估流程对专家组的选择；</w:t>
            </w:r>
          </w:p>
          <w:p>
            <w:pPr>
              <w:numPr>
                <w:ilvl w:val="0"/>
                <w:numId w:val="8"/>
              </w:numPr>
              <w:rPr>
                <w:rFonts w:ascii="仿宋" w:hAnsi="仿宋" w:eastAsia="仿宋"/>
                <w:sz w:val="24"/>
              </w:rPr>
            </w:pPr>
            <w:r>
              <w:rPr>
                <w:rFonts w:ascii="仿宋" w:hAnsi="仿宋" w:eastAsia="仿宋"/>
                <w:sz w:val="24"/>
              </w:rPr>
              <w:t>提供多种评估模板计算方式，并计算各模板打分结果，详情呈现评估结果；</w:t>
            </w:r>
          </w:p>
          <w:p>
            <w:pPr>
              <w:numPr>
                <w:ilvl w:val="0"/>
                <w:numId w:val="8"/>
              </w:numPr>
              <w:rPr>
                <w:rFonts w:ascii="仿宋" w:hAnsi="仿宋" w:eastAsia="仿宋"/>
                <w:sz w:val="24"/>
              </w:rPr>
            </w:pPr>
            <w:r>
              <w:rPr>
                <w:rFonts w:ascii="仿宋" w:hAnsi="仿宋" w:eastAsia="仿宋"/>
                <w:sz w:val="24"/>
              </w:rPr>
              <w:t>各评估环节支持邮件消息提醒；</w:t>
            </w:r>
          </w:p>
          <w:p>
            <w:pPr>
              <w:numPr>
                <w:ilvl w:val="0"/>
                <w:numId w:val="8"/>
              </w:numPr>
              <w:rPr>
                <w:rFonts w:ascii="仿宋" w:hAnsi="仿宋" w:eastAsia="仿宋"/>
                <w:sz w:val="24"/>
              </w:rPr>
            </w:pPr>
            <w:r>
              <w:rPr>
                <w:rFonts w:ascii="仿宋" w:hAnsi="仿宋" w:eastAsia="仿宋"/>
                <w:sz w:val="24"/>
              </w:rPr>
              <w:t>根据评估结果建立对知识产权的等级划分。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cantSplit/>
          <w:trHeight w:val="1644"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9</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运营平台</w:t>
            </w:r>
          </w:p>
          <w:p>
            <w:pPr>
              <w:jc w:val="center"/>
              <w:rPr>
                <w:rFonts w:ascii="仿宋" w:hAnsi="仿宋" w:eastAsia="仿宋"/>
                <w:sz w:val="28"/>
              </w:rPr>
            </w:pPr>
            <w:r>
              <w:rPr>
                <w:rFonts w:ascii="仿宋" w:hAnsi="仿宋" w:eastAsia="仿宋"/>
                <w:sz w:val="28"/>
              </w:rPr>
              <w:t>（转化运用管理）</w:t>
            </w:r>
          </w:p>
        </w:tc>
        <w:tc>
          <w:tcPr>
            <w:tcW w:w="6612" w:type="dxa"/>
            <w:gridSpan w:val="5"/>
            <w:vAlign w:val="center"/>
          </w:tcPr>
          <w:p>
            <w:pPr>
              <w:numPr>
                <w:ilvl w:val="0"/>
                <w:numId w:val="9"/>
              </w:numPr>
              <w:rPr>
                <w:rFonts w:ascii="仿宋" w:hAnsi="仿宋" w:eastAsia="仿宋"/>
                <w:sz w:val="24"/>
              </w:rPr>
            </w:pPr>
            <w:r>
              <w:rPr>
                <w:rFonts w:ascii="仿宋" w:hAnsi="仿宋" w:eastAsia="仿宋"/>
                <w:sz w:val="24"/>
              </w:rPr>
              <w:t>搭建知识产权运营转化平台，能够实时看到相关专利的转化进展；</w:t>
            </w:r>
          </w:p>
          <w:p>
            <w:pPr>
              <w:numPr>
                <w:ilvl w:val="0"/>
                <w:numId w:val="9"/>
              </w:numPr>
              <w:rPr>
                <w:rFonts w:ascii="仿宋" w:hAnsi="仿宋" w:eastAsia="仿宋"/>
                <w:sz w:val="24"/>
              </w:rPr>
            </w:pPr>
            <w:r>
              <w:rPr>
                <w:rFonts w:ascii="仿宋" w:hAnsi="仿宋" w:eastAsia="仿宋"/>
                <w:sz w:val="24"/>
              </w:rPr>
              <w:t>转化过程可管可控，实现流程审批，过程留痕；</w:t>
            </w:r>
          </w:p>
          <w:p>
            <w:pPr>
              <w:numPr>
                <w:ilvl w:val="0"/>
                <w:numId w:val="9"/>
              </w:numPr>
              <w:rPr>
                <w:rFonts w:ascii="仿宋" w:hAnsi="仿宋" w:eastAsia="仿宋"/>
                <w:sz w:val="24"/>
              </w:rPr>
            </w:pPr>
            <w:r>
              <w:rPr>
                <w:rFonts w:ascii="仿宋" w:hAnsi="仿宋" w:eastAsia="仿宋"/>
                <w:sz w:val="24"/>
              </w:rPr>
              <w:t>转化结果可视可查，支持以图表的方式展示。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889" w:type="dxa"/>
            <w:gridSpan w:val="2"/>
          </w:tcPr>
          <w:p>
            <w:pPr>
              <w:jc w:val="center"/>
              <w:rPr>
                <w:rFonts w:ascii="仿宋" w:hAnsi="仿宋" w:eastAsia="仿宋"/>
              </w:rPr>
            </w:pPr>
            <w:r>
              <w:rPr>
                <w:rFonts w:ascii="仿宋" w:hAnsi="仿宋" w:eastAsia="仿宋"/>
                <w:sz w:val="28"/>
              </w:rPr>
              <w:t>10</w:t>
            </w:r>
          </w:p>
        </w:tc>
        <w:tc>
          <w:tcPr>
            <w:tcW w:w="2139" w:type="dxa"/>
            <w:gridSpan w:val="2"/>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运营平台</w:t>
            </w:r>
          </w:p>
          <w:p>
            <w:pPr>
              <w:jc w:val="center"/>
              <w:rPr>
                <w:rFonts w:ascii="仿宋" w:hAnsi="仿宋" w:eastAsia="仿宋"/>
                <w:sz w:val="28"/>
              </w:rPr>
            </w:pPr>
            <w:r>
              <w:rPr>
                <w:rFonts w:ascii="仿宋" w:hAnsi="仿宋" w:eastAsia="仿宋"/>
                <w:sz w:val="28"/>
              </w:rPr>
              <w:t>（版权管理）</w:t>
            </w:r>
          </w:p>
        </w:tc>
        <w:tc>
          <w:tcPr>
            <w:tcW w:w="6612" w:type="dxa"/>
            <w:gridSpan w:val="5"/>
          </w:tcPr>
          <w:p>
            <w:pPr>
              <w:numPr>
                <w:ilvl w:val="0"/>
                <w:numId w:val="10"/>
              </w:numPr>
              <w:rPr>
                <w:rFonts w:ascii="仿宋" w:hAnsi="仿宋" w:eastAsia="仿宋"/>
                <w:sz w:val="24"/>
              </w:rPr>
            </w:pPr>
            <w:r>
              <w:rPr>
                <w:rFonts w:ascii="仿宋" w:hAnsi="仿宋" w:eastAsia="仿宋"/>
                <w:sz w:val="24"/>
              </w:rPr>
              <w:t>实现对版权的全生命周期管理；</w:t>
            </w:r>
          </w:p>
          <w:p>
            <w:pPr>
              <w:numPr>
                <w:ilvl w:val="0"/>
                <w:numId w:val="10"/>
              </w:numPr>
              <w:rPr>
                <w:rFonts w:ascii="仿宋" w:hAnsi="仿宋" w:eastAsia="仿宋"/>
                <w:sz w:val="24"/>
              </w:rPr>
            </w:pPr>
            <w:r>
              <w:rPr>
                <w:rFonts w:ascii="仿宋" w:hAnsi="仿宋" w:eastAsia="仿宋"/>
                <w:sz w:val="24"/>
              </w:rPr>
              <w:t>支持线上提案、流程审批、案件查询、文档管理、统计分析。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59"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11</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保障平台</w:t>
            </w:r>
          </w:p>
          <w:p>
            <w:pPr>
              <w:jc w:val="center"/>
              <w:rPr>
                <w:rFonts w:ascii="仿宋" w:hAnsi="仿宋" w:eastAsia="仿宋"/>
                <w:sz w:val="28"/>
              </w:rPr>
            </w:pPr>
            <w:r>
              <w:rPr>
                <w:rFonts w:ascii="仿宋" w:hAnsi="仿宋" w:eastAsia="仿宋"/>
                <w:sz w:val="28"/>
              </w:rPr>
              <w:t>（报表管理）</w:t>
            </w:r>
          </w:p>
        </w:tc>
        <w:tc>
          <w:tcPr>
            <w:tcW w:w="6612" w:type="dxa"/>
            <w:gridSpan w:val="5"/>
            <w:vAlign w:val="center"/>
          </w:tcPr>
          <w:p>
            <w:pPr>
              <w:numPr>
                <w:ilvl w:val="0"/>
                <w:numId w:val="11"/>
              </w:numPr>
              <w:rPr>
                <w:rFonts w:ascii="仿宋" w:hAnsi="仿宋" w:eastAsia="仿宋"/>
                <w:sz w:val="24"/>
              </w:rPr>
            </w:pPr>
            <w:r>
              <w:rPr>
                <w:rFonts w:ascii="仿宋" w:hAnsi="仿宋" w:eastAsia="仿宋"/>
                <w:sz w:val="24"/>
              </w:rPr>
              <w:t>支持通过报表设计器设计报表样式和统计逻辑，在报表发布功能对报表进行统一的命名和管理；</w:t>
            </w:r>
          </w:p>
          <w:p>
            <w:pPr>
              <w:numPr>
                <w:ilvl w:val="0"/>
                <w:numId w:val="11"/>
              </w:numPr>
              <w:rPr>
                <w:rFonts w:ascii="仿宋" w:hAnsi="仿宋" w:eastAsia="仿宋"/>
                <w:sz w:val="24"/>
              </w:rPr>
            </w:pPr>
            <w:r>
              <w:rPr>
                <w:rFonts w:ascii="仿宋" w:hAnsi="仿宋" w:eastAsia="仿宋"/>
                <w:sz w:val="24"/>
              </w:rPr>
              <w:t>支持设置报表前台页面显示的目录及面板；</w:t>
            </w:r>
          </w:p>
          <w:p>
            <w:pPr>
              <w:numPr>
                <w:ilvl w:val="0"/>
                <w:numId w:val="11"/>
              </w:numPr>
              <w:rPr>
                <w:rFonts w:ascii="仿宋" w:hAnsi="仿宋" w:eastAsia="仿宋"/>
                <w:sz w:val="24"/>
              </w:rPr>
            </w:pPr>
            <w:r>
              <w:rPr>
                <w:rFonts w:ascii="仿宋" w:hAnsi="仿宋" w:eastAsia="仿宋"/>
                <w:sz w:val="24"/>
              </w:rPr>
              <w:t>支持学校和各个院系分别维护各自报表；</w:t>
            </w:r>
          </w:p>
          <w:p>
            <w:pPr>
              <w:numPr>
                <w:ilvl w:val="0"/>
                <w:numId w:val="11"/>
              </w:numPr>
              <w:rPr>
                <w:rFonts w:ascii="仿宋" w:hAnsi="仿宋" w:eastAsia="仿宋"/>
                <w:sz w:val="24"/>
              </w:rPr>
            </w:pPr>
            <w:r>
              <w:rPr>
                <w:rFonts w:ascii="仿宋" w:hAnsi="仿宋" w:eastAsia="仿宋"/>
                <w:sz w:val="24"/>
              </w:rPr>
              <w:t>支持以图或者表格的形式进行展示，支持导出报表；</w:t>
            </w:r>
          </w:p>
          <w:p>
            <w:pPr>
              <w:numPr>
                <w:ilvl w:val="0"/>
                <w:numId w:val="11"/>
              </w:numPr>
              <w:rPr>
                <w:rFonts w:ascii="仿宋" w:hAnsi="仿宋" w:eastAsia="仿宋"/>
                <w:sz w:val="24"/>
              </w:rPr>
            </w:pPr>
            <w:r>
              <w:rPr>
                <w:rFonts w:ascii="仿宋" w:hAnsi="仿宋" w:eastAsia="仿宋"/>
                <w:sz w:val="24"/>
              </w:rPr>
              <w:t>预置常用报表：专利拥有总量、年度专利申请量、专利申请趋势、专利授权趋势、专利申请类型分布、专利状态分布、代理机构效率、代理所案件数量及授权率、驳回率报表、专利申请及授权地域分布、年度成本分析、部门奖金统计、费用统计报表、发明人专利数量、申请人专利数量、产品领域申请量、产品领域授权量、专利申请年度对比、年度技术领域申请量、累计技术领域授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59"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12</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保障平台</w:t>
            </w:r>
          </w:p>
          <w:p>
            <w:pPr>
              <w:jc w:val="center"/>
              <w:rPr>
                <w:rFonts w:ascii="仿宋" w:hAnsi="仿宋" w:eastAsia="仿宋"/>
                <w:sz w:val="28"/>
              </w:rPr>
            </w:pPr>
            <w:r>
              <w:rPr>
                <w:rFonts w:ascii="仿宋" w:hAnsi="仿宋" w:eastAsia="仿宋"/>
                <w:sz w:val="28"/>
              </w:rPr>
              <w:t>（文件管理）</w:t>
            </w:r>
          </w:p>
        </w:tc>
        <w:tc>
          <w:tcPr>
            <w:tcW w:w="6612" w:type="dxa"/>
            <w:gridSpan w:val="5"/>
            <w:vAlign w:val="center"/>
          </w:tcPr>
          <w:p>
            <w:pPr>
              <w:numPr>
                <w:ilvl w:val="0"/>
                <w:numId w:val="12"/>
              </w:numPr>
              <w:rPr>
                <w:rFonts w:ascii="仿宋" w:hAnsi="仿宋" w:eastAsia="仿宋"/>
                <w:sz w:val="24"/>
              </w:rPr>
            </w:pPr>
            <w:r>
              <w:rPr>
                <w:rFonts w:ascii="仿宋" w:hAnsi="仿宋" w:eastAsia="仿宋"/>
                <w:sz w:val="24"/>
              </w:rPr>
              <w:t>支持CPC（中国专利电子申请官方客户端）下发的ZIP类型的通知书文件批量导入和自动解析；</w:t>
            </w:r>
          </w:p>
          <w:p>
            <w:pPr>
              <w:numPr>
                <w:ilvl w:val="0"/>
                <w:numId w:val="12"/>
              </w:numPr>
              <w:rPr>
                <w:rFonts w:ascii="仿宋" w:hAnsi="仿宋" w:eastAsia="仿宋"/>
                <w:sz w:val="24"/>
              </w:rPr>
            </w:pPr>
            <w:r>
              <w:rPr>
                <w:rFonts w:ascii="仿宋" w:hAnsi="仿宋" w:eastAsia="仿宋"/>
                <w:sz w:val="24"/>
              </w:rPr>
              <w:t>支持OCR识别方式自动识别中国专利局官方文档；</w:t>
            </w:r>
          </w:p>
          <w:p>
            <w:pPr>
              <w:numPr>
                <w:ilvl w:val="0"/>
                <w:numId w:val="12"/>
              </w:numPr>
              <w:rPr>
                <w:rFonts w:ascii="仿宋" w:hAnsi="仿宋" w:eastAsia="仿宋"/>
                <w:sz w:val="24"/>
              </w:rPr>
            </w:pPr>
            <w:r>
              <w:rPr>
                <w:rFonts w:ascii="仿宋" w:hAnsi="仿宋" w:eastAsia="仿宋"/>
                <w:sz w:val="24"/>
              </w:rPr>
              <w:t>支持通过文件命名（案件编号、申请号+文档名称）方式批量上传文档；</w:t>
            </w:r>
          </w:p>
          <w:p>
            <w:pPr>
              <w:numPr>
                <w:ilvl w:val="0"/>
                <w:numId w:val="12"/>
              </w:numPr>
              <w:rPr>
                <w:rFonts w:ascii="仿宋" w:hAnsi="仿宋" w:eastAsia="仿宋"/>
                <w:sz w:val="24"/>
              </w:rPr>
            </w:pPr>
            <w:r>
              <w:rPr>
                <w:rFonts w:ascii="仿宋" w:hAnsi="仿宋" w:eastAsia="仿宋"/>
                <w:sz w:val="24"/>
              </w:rPr>
              <w:t>支持文档的批量下载；</w:t>
            </w:r>
          </w:p>
          <w:p>
            <w:pPr>
              <w:numPr>
                <w:ilvl w:val="0"/>
                <w:numId w:val="12"/>
              </w:numPr>
              <w:rPr>
                <w:rFonts w:ascii="仿宋" w:hAnsi="仿宋" w:eastAsia="仿宋"/>
                <w:sz w:val="24"/>
              </w:rPr>
            </w:pPr>
            <w:r>
              <w:rPr>
                <w:rFonts w:ascii="仿宋" w:hAnsi="仿宋" w:eastAsia="仿宋"/>
                <w:sz w:val="24"/>
              </w:rPr>
              <w:t>支持PDF、word和Excel格式的文档在线预览；</w:t>
            </w:r>
          </w:p>
          <w:p>
            <w:pPr>
              <w:numPr>
                <w:ilvl w:val="0"/>
                <w:numId w:val="12"/>
              </w:numPr>
              <w:rPr>
                <w:rFonts w:ascii="仿宋" w:hAnsi="仿宋" w:eastAsia="仿宋"/>
                <w:sz w:val="24"/>
              </w:rPr>
            </w:pPr>
            <w:r>
              <w:rPr>
                <w:rFonts w:ascii="仿宋" w:hAnsi="仿宋" w:eastAsia="仿宋"/>
                <w:sz w:val="24"/>
              </w:rPr>
              <w:t>文档下载后支持批量重命名。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457"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13</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保障平台</w:t>
            </w:r>
          </w:p>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（系统管理）</w:t>
            </w:r>
          </w:p>
        </w:tc>
        <w:tc>
          <w:tcPr>
            <w:tcW w:w="6612" w:type="dxa"/>
            <w:gridSpan w:val="5"/>
            <w:vAlign w:val="center"/>
          </w:tcPr>
          <w:p>
            <w:pPr>
              <w:numPr>
                <w:ilvl w:val="0"/>
                <w:numId w:val="13"/>
              </w:numPr>
              <w:rPr>
                <w:rFonts w:ascii="仿宋" w:hAnsi="仿宋" w:eastAsia="仿宋"/>
                <w:sz w:val="24"/>
              </w:rPr>
            </w:pPr>
            <w:r>
              <w:rPr>
                <w:rFonts w:ascii="仿宋" w:hAnsi="仿宋" w:eastAsia="仿宋"/>
                <w:sz w:val="24"/>
              </w:rPr>
              <w:t>支持组织机构及人员管理、申请人管理、角色管理、角色定义及权限配置、申请人管理、代理机构及代理人员管理，维护产品领域、技术领域、奖金类型，维护邮件模板；</w:t>
            </w:r>
          </w:p>
          <w:p>
            <w:pPr>
              <w:numPr>
                <w:ilvl w:val="0"/>
                <w:numId w:val="13"/>
              </w:numPr>
              <w:rPr>
                <w:rFonts w:ascii="仿宋" w:hAnsi="仿宋" w:eastAsia="仿宋"/>
                <w:sz w:val="24"/>
              </w:rPr>
            </w:pPr>
            <w:r>
              <w:rPr>
                <w:rFonts w:ascii="仿宋" w:hAnsi="仿宋" w:eastAsia="仿宋"/>
                <w:sz w:val="24"/>
              </w:rPr>
              <w:t>支持自行创建业务模块，满足业务扩展，支持业务模块基础设计，支持配置业务的模型设置、后台设置、菜单设置、权限设置，配置业务支持基本台账、流程、表单、文档、权限；</w:t>
            </w:r>
          </w:p>
          <w:p>
            <w:pPr>
              <w:numPr>
                <w:ilvl w:val="0"/>
                <w:numId w:val="13"/>
              </w:numPr>
              <w:rPr>
                <w:rFonts w:ascii="仿宋" w:hAnsi="仿宋" w:eastAsia="仿宋"/>
                <w:sz w:val="24"/>
              </w:rPr>
            </w:pPr>
            <w:r>
              <w:rPr>
                <w:rFonts w:ascii="仿宋" w:hAnsi="仿宋" w:eastAsia="仿宋"/>
                <w:sz w:val="24"/>
              </w:rPr>
              <w:t>支持流程模板设置、表单编辑设定、文档规则、事项定义及规则、官方期限、官费模板、代理费模板、奖金模板、提醒规则、评估模板设定、流程变量、自定义编号、年费维持评估；</w:t>
            </w:r>
          </w:p>
          <w:p>
            <w:pPr>
              <w:numPr>
                <w:ilvl w:val="0"/>
                <w:numId w:val="13"/>
              </w:numPr>
              <w:rPr>
                <w:rFonts w:ascii="仿宋" w:hAnsi="仿宋" w:eastAsia="仿宋"/>
                <w:sz w:val="24"/>
              </w:rPr>
            </w:pPr>
            <w:r>
              <w:rPr>
                <w:rFonts w:ascii="仿宋" w:hAnsi="仿宋" w:eastAsia="仿宋"/>
                <w:sz w:val="24"/>
              </w:rPr>
              <w:t>支持门户配置及管理，实现门户模板、门户组件、组件模板的设定；</w:t>
            </w:r>
          </w:p>
          <w:p>
            <w:pPr>
              <w:numPr>
                <w:ilvl w:val="0"/>
                <w:numId w:val="13"/>
              </w:numPr>
              <w:rPr>
                <w:rFonts w:ascii="仿宋" w:hAnsi="仿宋" w:eastAsia="仿宋"/>
                <w:sz w:val="24"/>
              </w:rPr>
            </w:pPr>
            <w:r>
              <w:rPr>
                <w:rFonts w:ascii="仿宋" w:hAnsi="仿宋" w:eastAsia="仿宋"/>
                <w:sz w:val="24"/>
              </w:rPr>
              <w:t>支持指标类型设置、表单模板、按钮设置；</w:t>
            </w:r>
          </w:p>
          <w:p>
            <w:pPr>
              <w:numPr>
                <w:ilvl w:val="0"/>
                <w:numId w:val="13"/>
              </w:numPr>
              <w:rPr>
                <w:rFonts w:ascii="仿宋" w:hAnsi="仿宋" w:eastAsia="仿宋"/>
                <w:sz w:val="24"/>
              </w:rPr>
            </w:pPr>
            <w:r>
              <w:rPr>
                <w:rFonts w:ascii="仿宋" w:hAnsi="仿宋" w:eastAsia="仿宋"/>
                <w:sz w:val="24"/>
              </w:rPr>
              <w:t>支持登录日志、操作日志；</w:t>
            </w:r>
          </w:p>
          <w:p>
            <w:pPr>
              <w:numPr>
                <w:ilvl w:val="0"/>
                <w:numId w:val="13"/>
              </w:numPr>
              <w:rPr>
                <w:rFonts w:ascii="仿宋" w:hAnsi="仿宋" w:eastAsia="仿宋"/>
                <w:sz w:val="24"/>
              </w:rPr>
            </w:pPr>
            <w:r>
              <w:rPr>
                <w:rFonts w:ascii="仿宋" w:hAnsi="仿宋" w:eastAsia="仿宋"/>
                <w:sz w:val="24"/>
              </w:rPr>
              <w:t>支持多级单位的分级管理，可以实现各单位不同表单、奖金规则、费用规则的设定及使用；</w:t>
            </w:r>
          </w:p>
          <w:p>
            <w:pPr>
              <w:numPr>
                <w:ilvl w:val="0"/>
                <w:numId w:val="13"/>
              </w:numPr>
              <w:rPr>
                <w:rFonts w:ascii="仿宋" w:hAnsi="仿宋" w:eastAsia="仿宋"/>
                <w:sz w:val="24"/>
              </w:rPr>
            </w:pPr>
            <w:r>
              <w:rPr>
                <w:rFonts w:ascii="仿宋" w:hAnsi="仿宋" w:eastAsia="仿宋"/>
                <w:sz w:val="24"/>
              </w:rPr>
              <w:t>支持自定义菜单的名称、层级和图标，菜单支持当前窗口打开和新窗口打开两种打开方式。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cantSplit/>
          <w:trHeight w:val="2925"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14</w:t>
            </w:r>
          </w:p>
        </w:tc>
        <w:tc>
          <w:tcPr>
            <w:tcW w:w="2139" w:type="dxa"/>
            <w:gridSpan w:val="2"/>
            <w:vAlign w:val="center"/>
          </w:tcPr>
          <w:p>
            <w:pPr>
              <w:jc w:val="center"/>
              <w:rPr>
                <w:rFonts w:ascii="仿宋" w:hAnsi="仿宋" w:eastAsia="仿宋"/>
                <w:sz w:val="28"/>
              </w:rPr>
            </w:pPr>
            <w:r>
              <w:rPr>
                <w:rFonts w:ascii="仿宋" w:hAnsi="仿宋" w:eastAsia="仿宋"/>
                <w:sz w:val="28"/>
              </w:rPr>
              <w:t>知识产权</w:t>
            </w:r>
          </w:p>
          <w:p>
            <w:pPr>
              <w:jc w:val="center"/>
              <w:rPr>
                <w:rFonts w:ascii="仿宋" w:hAnsi="仿宋" w:eastAsia="仿宋"/>
                <w:sz w:val="28"/>
              </w:rPr>
            </w:pPr>
            <w:r>
              <w:rPr>
                <w:rFonts w:ascii="仿宋" w:hAnsi="仿宋" w:eastAsia="仿宋"/>
                <w:sz w:val="28"/>
              </w:rPr>
              <w:t>保障平台</w:t>
            </w:r>
          </w:p>
          <w:p>
            <w:pPr>
              <w:jc w:val="center"/>
              <w:rPr>
                <w:rFonts w:ascii="仿宋" w:hAnsi="仿宋" w:eastAsia="仿宋"/>
                <w:sz w:val="28"/>
              </w:rPr>
            </w:pPr>
            <w:r>
              <w:rPr>
                <w:rFonts w:ascii="仿宋" w:hAnsi="仿宋" w:eastAsia="仿宋"/>
                <w:sz w:val="28"/>
              </w:rPr>
              <w:t>（邮件管理）</w:t>
            </w:r>
          </w:p>
        </w:tc>
        <w:tc>
          <w:tcPr>
            <w:tcW w:w="6612" w:type="dxa"/>
            <w:gridSpan w:val="5"/>
            <w:vAlign w:val="center"/>
          </w:tcPr>
          <w:p>
            <w:pPr>
              <w:numPr>
                <w:ilvl w:val="0"/>
                <w:numId w:val="14"/>
              </w:numPr>
              <w:rPr>
                <w:rFonts w:ascii="仿宋" w:hAnsi="仿宋" w:eastAsia="仿宋"/>
                <w:sz w:val="24"/>
              </w:rPr>
            </w:pPr>
            <w:r>
              <w:rPr>
                <w:rFonts w:ascii="仿宋" w:hAnsi="仿宋" w:eastAsia="仿宋"/>
                <w:sz w:val="24"/>
              </w:rPr>
              <w:t>对接邮箱系统，实现系统中发送邮件提醒或接收邮件，并自动与案件关联；</w:t>
            </w:r>
          </w:p>
          <w:p>
            <w:pPr>
              <w:numPr>
                <w:ilvl w:val="0"/>
                <w:numId w:val="14"/>
              </w:numPr>
              <w:rPr>
                <w:rFonts w:ascii="仿宋" w:hAnsi="仿宋" w:eastAsia="仿宋"/>
                <w:sz w:val="24"/>
              </w:rPr>
            </w:pPr>
            <w:r>
              <w:rPr>
                <w:rFonts w:ascii="仿宋" w:hAnsi="仿宋" w:eastAsia="仿宋"/>
                <w:sz w:val="24"/>
              </w:rPr>
              <w:t>对邮件中附件能自动分析，根据专利文档命名规则进行匹配归档，自动生成事项、流程等内容，并自动导入对应案件；</w:t>
            </w:r>
          </w:p>
          <w:p>
            <w:pPr>
              <w:numPr>
                <w:ilvl w:val="0"/>
                <w:numId w:val="14"/>
              </w:numPr>
              <w:rPr>
                <w:rFonts w:ascii="仿宋" w:hAnsi="仿宋" w:eastAsia="仿宋"/>
                <w:sz w:val="24"/>
              </w:rPr>
            </w:pPr>
            <w:r>
              <w:rPr>
                <w:rFonts w:ascii="仿宋" w:hAnsi="仿宋" w:eastAsia="仿宋"/>
                <w:sz w:val="24"/>
              </w:rPr>
              <w:t>可</w:t>
            </w:r>
            <w:r>
              <w:rPr>
                <w:rFonts w:hint="eastAsia" w:ascii="仿宋" w:hAnsi="仿宋" w:eastAsia="仿宋"/>
                <w:sz w:val="24"/>
              </w:rPr>
              <w:t>灵活配置邮件主题、邮件正文模板</w:t>
            </w:r>
            <w:r>
              <w:rPr>
                <w:rFonts w:ascii="仿宋" w:hAnsi="仿宋" w:eastAsia="仿宋"/>
                <w:sz w:val="24"/>
              </w:rPr>
              <w:t>，自动生成邮件主题及正文内容</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930" w:hRule="atLeast"/>
          <w:jc w:val="center"/>
        </w:trPr>
        <w:tc>
          <w:tcPr>
            <w:tcW w:w="889" w:type="dxa"/>
            <w:gridSpan w:val="2"/>
          </w:tcPr>
          <w:p>
            <w:pPr>
              <w:jc w:val="center"/>
              <w:rPr>
                <w:rFonts w:ascii="仿宋" w:hAnsi="仿宋" w:eastAsia="仿宋"/>
                <w:sz w:val="28"/>
              </w:rPr>
            </w:pPr>
            <w:r>
              <w:rPr>
                <w:rFonts w:ascii="仿宋" w:hAnsi="仿宋" w:eastAsia="仿宋"/>
                <w:sz w:val="28"/>
              </w:rPr>
              <w:t>15</w:t>
            </w:r>
          </w:p>
        </w:tc>
        <w:tc>
          <w:tcPr>
            <w:tcW w:w="2139" w:type="dxa"/>
            <w:gridSpan w:val="2"/>
          </w:tcPr>
          <w:p>
            <w:pPr>
              <w:jc w:val="center"/>
              <w:rPr>
                <w:rFonts w:ascii="仿宋" w:hAnsi="仿宋" w:eastAsia="仿宋"/>
                <w:sz w:val="28"/>
              </w:rPr>
            </w:pPr>
            <w:r>
              <w:rPr>
                <w:rFonts w:ascii="仿宋" w:hAnsi="仿宋" w:eastAsia="仿宋"/>
                <w:sz w:val="28"/>
              </w:rPr>
              <w:t>知识产权情报平台</w:t>
            </w:r>
          </w:p>
          <w:p>
            <w:pPr>
              <w:jc w:val="center"/>
              <w:rPr>
                <w:rFonts w:ascii="仿宋" w:hAnsi="仿宋" w:eastAsia="仿宋"/>
                <w:sz w:val="28"/>
              </w:rPr>
            </w:pPr>
            <w:r>
              <w:rPr>
                <w:rFonts w:ascii="仿宋" w:hAnsi="仿宋" w:eastAsia="仿宋"/>
                <w:sz w:val="28"/>
              </w:rPr>
              <w:t>＃（外部专利数据检索及同步）</w:t>
            </w:r>
          </w:p>
        </w:tc>
        <w:tc>
          <w:tcPr>
            <w:tcW w:w="6612" w:type="dxa"/>
            <w:gridSpan w:val="5"/>
          </w:tcPr>
          <w:p>
            <w:pPr>
              <w:numPr>
                <w:ilvl w:val="0"/>
                <w:numId w:val="15"/>
              </w:numPr>
              <w:rPr>
                <w:rFonts w:ascii="仿宋" w:hAnsi="仿宋" w:eastAsia="仿宋"/>
                <w:sz w:val="24"/>
              </w:rPr>
            </w:pPr>
            <w:r>
              <w:rPr>
                <w:rFonts w:hint="eastAsia" w:ascii="仿宋" w:hAnsi="仿宋" w:eastAsia="仿宋"/>
                <w:sz w:val="24"/>
              </w:rPr>
              <w:t>提供1个专利数据库账号。</w:t>
            </w:r>
          </w:p>
          <w:p>
            <w:pPr>
              <w:numPr>
                <w:ilvl w:val="0"/>
                <w:numId w:val="15"/>
              </w:numPr>
              <w:rPr>
                <w:rFonts w:ascii="仿宋" w:hAnsi="仿宋" w:eastAsia="仿宋"/>
                <w:sz w:val="24"/>
              </w:rPr>
            </w:pPr>
            <w:r>
              <w:rPr>
                <w:rFonts w:hint="eastAsia" w:ascii="仿宋" w:hAnsi="仿宋" w:eastAsia="仿宋"/>
                <w:sz w:val="24"/>
              </w:rPr>
              <w:t>支持自动更新系统已公开专利的法律状态和著录项目；</w:t>
            </w:r>
          </w:p>
          <w:p>
            <w:pPr>
              <w:numPr>
                <w:ilvl w:val="0"/>
                <w:numId w:val="15"/>
              </w:numPr>
              <w:rPr>
                <w:rFonts w:ascii="仿宋" w:hAnsi="仿宋" w:eastAsia="仿宋"/>
                <w:sz w:val="24"/>
              </w:rPr>
            </w:pPr>
            <w:r>
              <w:rPr>
                <w:rFonts w:hint="eastAsia" w:ascii="仿宋" w:hAnsi="仿宋" w:eastAsia="仿宋"/>
                <w:sz w:val="24"/>
              </w:rPr>
              <w:t>支持对接专利检索系统，进行语义查新检索并将相似结果关联保存至相关案件的查重记录中；</w:t>
            </w:r>
          </w:p>
          <w:p>
            <w:pPr>
              <w:numPr>
                <w:ilvl w:val="0"/>
                <w:numId w:val="15"/>
              </w:numPr>
              <w:rPr>
                <w:rFonts w:ascii="仿宋" w:hAnsi="仿宋" w:eastAsia="仿宋"/>
                <w:sz w:val="24"/>
              </w:rPr>
            </w:pPr>
            <w:r>
              <w:rPr>
                <w:rFonts w:hint="eastAsia" w:ascii="仿宋" w:hAnsi="仿宋" w:eastAsia="仿宋"/>
                <w:sz w:val="24"/>
              </w:rPr>
              <w:t>专利检索数据库收录不少于</w:t>
            </w:r>
            <w:r>
              <w:rPr>
                <w:rFonts w:ascii="仿宋" w:hAnsi="仿宋" w:eastAsia="仿宋"/>
                <w:sz w:val="24"/>
              </w:rPr>
              <w:t>120个国家/地区的专利数据；</w:t>
            </w:r>
          </w:p>
          <w:p>
            <w:pPr>
              <w:numPr>
                <w:ilvl w:val="0"/>
                <w:numId w:val="15"/>
              </w:numPr>
              <w:rPr>
                <w:rFonts w:ascii="仿宋" w:hAnsi="仿宋" w:eastAsia="仿宋"/>
                <w:sz w:val="24"/>
              </w:rPr>
            </w:pPr>
            <w:r>
              <w:rPr>
                <w:rFonts w:hint="eastAsia" w:ascii="仿宋" w:hAnsi="仿宋" w:eastAsia="仿宋"/>
                <w:sz w:val="24"/>
              </w:rPr>
              <w:t>专利检索数据库可以提供有效发明专利和实用新型专利的货币价值估值，并支持通过价值评估结果排序、筛选；</w:t>
            </w:r>
          </w:p>
          <w:p>
            <w:pPr>
              <w:numPr>
                <w:ilvl w:val="0"/>
                <w:numId w:val="15"/>
              </w:numPr>
              <w:rPr>
                <w:rFonts w:ascii="仿宋" w:hAnsi="仿宋" w:eastAsia="仿宋"/>
                <w:sz w:val="24"/>
              </w:rPr>
            </w:pPr>
            <w:r>
              <w:rPr>
                <w:rFonts w:hint="eastAsia" w:ascii="仿宋" w:hAnsi="仿宋" w:eastAsia="仿宋"/>
                <w:sz w:val="24"/>
              </w:rPr>
              <w:t>专利数据库支持工作空间功能，可将相应检索条件对应的专利结果保存至文件夹，保存专利数量不低于</w:t>
            </w:r>
            <w:r>
              <w:rPr>
                <w:rFonts w:ascii="仿宋" w:hAnsi="仿宋" w:eastAsia="仿宋"/>
                <w:sz w:val="24"/>
              </w:rPr>
              <w:t>2万条/文件夹，并可进行各类专利人工标引、智能标引、协作并分享，保存结果支持预警监控，发生更新时以邮件、微信的形式进行通知。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129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16</w:t>
            </w:r>
          </w:p>
        </w:tc>
        <w:tc>
          <w:tcPr>
            <w:tcW w:w="2139" w:type="dxa"/>
            <w:gridSpan w:val="2"/>
            <w:vAlign w:val="center"/>
          </w:tcPr>
          <w:p>
            <w:pPr>
              <w:jc w:val="center"/>
              <w:rPr>
                <w:rFonts w:ascii="仿宋" w:hAnsi="仿宋" w:eastAsia="仿宋"/>
                <w:sz w:val="28"/>
              </w:rPr>
            </w:pPr>
            <w:r>
              <w:rPr>
                <w:rFonts w:hint="eastAsia" w:ascii="仿宋" w:hAnsi="仿宋" w:eastAsia="仿宋" w:cs="宋体"/>
                <w:sz w:val="28"/>
              </w:rPr>
              <w:t>★</w:t>
            </w:r>
            <w:r>
              <w:rPr>
                <w:rFonts w:ascii="仿宋" w:hAnsi="仿宋" w:eastAsia="仿宋"/>
                <w:sz w:val="28"/>
              </w:rPr>
              <w:t>知识产权集成平台</w:t>
            </w:r>
            <w:r>
              <w:rPr>
                <w:rFonts w:hint="eastAsia" w:ascii="仿宋" w:hAnsi="仿宋" w:eastAsia="仿宋"/>
                <w:sz w:val="28"/>
              </w:rPr>
              <w:t>（系统集成）</w:t>
            </w:r>
          </w:p>
        </w:tc>
        <w:tc>
          <w:tcPr>
            <w:tcW w:w="6612" w:type="dxa"/>
            <w:gridSpan w:val="5"/>
            <w:vAlign w:val="center"/>
          </w:tcPr>
          <w:p>
            <w:pPr>
              <w:numPr>
                <w:ilvl w:val="0"/>
                <w:numId w:val="16"/>
              </w:numPr>
              <w:rPr>
                <w:rFonts w:ascii="仿宋" w:hAnsi="仿宋" w:eastAsia="仿宋"/>
                <w:sz w:val="24"/>
              </w:rPr>
            </w:pPr>
            <w:r>
              <w:rPr>
                <w:rFonts w:ascii="仿宋" w:hAnsi="仿宋" w:eastAsia="仿宋"/>
                <w:sz w:val="24"/>
              </w:rPr>
              <w:t>与短信平台集成，实现专利授权、年费缴费提醒。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1290" w:hRule="atLeast"/>
          <w:jc w:val="center"/>
        </w:trPr>
        <w:tc>
          <w:tcPr>
            <w:tcW w:w="895" w:type="dxa"/>
            <w:gridSpan w:val="3"/>
            <w:vAlign w:val="center"/>
          </w:tcPr>
          <w:p>
            <w:pPr>
              <w:jc w:val="center"/>
              <w:rPr>
                <w:rFonts w:ascii="仿宋" w:hAnsi="仿宋" w:eastAsia="仿宋"/>
                <w:sz w:val="28"/>
              </w:rPr>
            </w:pPr>
            <w:r>
              <w:rPr>
                <w:rFonts w:hint="eastAsia" w:ascii="仿宋" w:hAnsi="仿宋" w:eastAsia="仿宋"/>
                <w:sz w:val="28"/>
              </w:rPr>
              <w:t>1</w:t>
            </w:r>
            <w:r>
              <w:rPr>
                <w:rFonts w:ascii="仿宋" w:hAnsi="仿宋" w:eastAsia="仿宋"/>
                <w:sz w:val="28"/>
              </w:rPr>
              <w:t>7</w:t>
            </w:r>
          </w:p>
        </w:tc>
        <w:tc>
          <w:tcPr>
            <w:tcW w:w="2139" w:type="dxa"/>
            <w:gridSpan w:val="2"/>
            <w:vAlign w:val="center"/>
          </w:tcPr>
          <w:p>
            <w:pPr>
              <w:jc w:val="center"/>
              <w:rPr>
                <w:rFonts w:ascii="仿宋" w:hAnsi="仿宋" w:eastAsia="仿宋" w:cs="宋体"/>
                <w:sz w:val="28"/>
              </w:rPr>
            </w:pPr>
            <w:r>
              <w:rPr>
                <w:rFonts w:hint="eastAsia" w:ascii="仿宋" w:hAnsi="仿宋" w:eastAsia="仿宋" w:cs="宋体"/>
                <w:sz w:val="28"/>
              </w:rPr>
              <w:t>知识产权管理平台（非功能性要求）</w:t>
            </w:r>
          </w:p>
        </w:tc>
        <w:tc>
          <w:tcPr>
            <w:tcW w:w="6602" w:type="dxa"/>
            <w:gridSpan w:val="4"/>
            <w:vAlign w:val="center"/>
          </w:tcPr>
          <w:p>
            <w:pPr>
              <w:numPr>
                <w:ilvl w:val="0"/>
                <w:numId w:val="17"/>
              </w:numPr>
              <w:rPr>
                <w:rFonts w:ascii="仿宋" w:hAnsi="仿宋" w:eastAsia="仿宋"/>
                <w:sz w:val="24"/>
              </w:rPr>
            </w:pPr>
            <w:r>
              <w:rPr>
                <w:rFonts w:hint="eastAsia" w:ascii="仿宋" w:hAnsi="仿宋" w:eastAsia="仿宋"/>
                <w:sz w:val="24"/>
              </w:rPr>
              <w:t>系统架构：支持</w:t>
            </w:r>
            <w:r>
              <w:rPr>
                <w:rFonts w:ascii="仿宋" w:hAnsi="仿宋" w:eastAsia="仿宋"/>
                <w:sz w:val="24"/>
              </w:rPr>
              <w:t>B/S体系架构，整体应采取当前主流微服务技术架构设计开发，具备与异构系统的集成能力和跨硬件平台的扩展能力。</w:t>
            </w:r>
          </w:p>
          <w:p>
            <w:pPr>
              <w:numPr>
                <w:ilvl w:val="0"/>
                <w:numId w:val="17"/>
              </w:numPr>
              <w:rPr>
                <w:rFonts w:ascii="仿宋" w:hAnsi="仿宋" w:eastAsia="仿宋"/>
                <w:sz w:val="24"/>
              </w:rPr>
            </w:pPr>
            <w:r>
              <w:rPr>
                <w:rFonts w:hint="eastAsia" w:ascii="仿宋" w:hAnsi="仿宋" w:eastAsia="仿宋"/>
                <w:sz w:val="24"/>
              </w:rPr>
              <w:t>部署方式：可支持本地化物理机、虚拟化、私有云部署，应采用免费或开源操作系统及数据库。</w:t>
            </w:r>
          </w:p>
          <w:p>
            <w:pPr>
              <w:numPr>
                <w:ilvl w:val="0"/>
                <w:numId w:val="17"/>
              </w:numPr>
              <w:rPr>
                <w:rFonts w:ascii="仿宋" w:hAnsi="仿宋" w:eastAsia="仿宋"/>
                <w:sz w:val="24"/>
              </w:rPr>
            </w:pPr>
            <w:r>
              <w:rPr>
                <w:rFonts w:hint="eastAsia" w:ascii="仿宋" w:hAnsi="仿宋" w:eastAsia="仿宋"/>
                <w:sz w:val="24"/>
              </w:rPr>
              <w:t>性能要求：在常规网络环境下系统支持同时在线用户数</w:t>
            </w:r>
            <w:r>
              <w:rPr>
                <w:rFonts w:ascii="仿宋" w:hAnsi="仿宋" w:eastAsia="仿宋"/>
                <w:sz w:val="24"/>
              </w:rPr>
              <w:t>&gt;=500人、并发用户数&gt;=100人的能力；一般页面访问平均响应时间≤2秒，峰值≤5秒。</w:t>
            </w:r>
          </w:p>
          <w:p>
            <w:pPr>
              <w:numPr>
                <w:ilvl w:val="0"/>
                <w:numId w:val="17"/>
              </w:numPr>
              <w:rPr>
                <w:rFonts w:ascii="仿宋" w:hAnsi="仿宋" w:eastAsia="仿宋"/>
                <w:sz w:val="24"/>
              </w:rPr>
            </w:pPr>
            <w:r>
              <w:rPr>
                <w:rFonts w:hint="eastAsia" w:ascii="仿宋" w:hAnsi="仿宋" w:eastAsia="仿宋"/>
                <w:sz w:val="24"/>
              </w:rPr>
              <w:t>兼容性：兼容主流的浏览器，比如</w:t>
            </w:r>
            <w:r>
              <w:rPr>
                <w:rFonts w:ascii="仿宋" w:hAnsi="仿宋" w:eastAsia="仿宋"/>
                <w:sz w:val="24"/>
              </w:rPr>
              <w:t>Chrome /Firefox /IE11 /Safari 等。</w:t>
            </w:r>
          </w:p>
          <w:p>
            <w:pPr>
              <w:numPr>
                <w:ilvl w:val="0"/>
                <w:numId w:val="17"/>
              </w:numPr>
              <w:rPr>
                <w:rFonts w:hint="eastAsia" w:ascii="仿宋" w:hAnsi="仿宋" w:eastAsia="仿宋"/>
                <w:sz w:val="24"/>
              </w:rPr>
            </w:pPr>
            <w:r>
              <w:rPr>
                <w:rFonts w:hint="eastAsia" w:ascii="仿宋" w:hAnsi="仿宋" w:eastAsia="仿宋"/>
                <w:sz w:val="24"/>
              </w:rPr>
              <w:t>安全性：平台系统应符合等级保护二级或更高级别要求，不存在重大安全漏洞，应通过空军军医大学或第三方机构的安全扫描测试。支持敏感数据加密，知产文档应使用加密技术存储。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1290" w:hRule="atLeast"/>
          <w:jc w:val="center"/>
        </w:trPr>
        <w:tc>
          <w:tcPr>
            <w:tcW w:w="895" w:type="dxa"/>
            <w:gridSpan w:val="3"/>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18</w:t>
            </w:r>
          </w:p>
        </w:tc>
        <w:tc>
          <w:tcPr>
            <w:tcW w:w="2139" w:type="dxa"/>
            <w:gridSpan w:val="2"/>
            <w:vAlign w:val="center"/>
          </w:tcPr>
          <w:p>
            <w:pPr>
              <w:jc w:val="center"/>
              <w:rPr>
                <w:rFonts w:hint="eastAsia" w:ascii="仿宋" w:hAnsi="仿宋" w:eastAsia="仿宋" w:cs="宋体"/>
                <w:sz w:val="28"/>
                <w:lang w:eastAsia="zh-CN"/>
              </w:rPr>
            </w:pPr>
            <w:r>
              <w:rPr>
                <w:rFonts w:hint="eastAsia" w:ascii="仿宋" w:hAnsi="仿宋" w:eastAsia="仿宋" w:cs="宋体"/>
                <w:sz w:val="28"/>
                <w:lang w:eastAsia="zh-CN"/>
              </w:rPr>
              <w:t>统一身份认证</w:t>
            </w:r>
          </w:p>
        </w:tc>
        <w:tc>
          <w:tcPr>
            <w:tcW w:w="6602" w:type="dxa"/>
            <w:gridSpan w:val="4"/>
            <w:vAlign w:val="center"/>
          </w:tcPr>
          <w:p>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支持与单位统一身份认证对接；实现单点登录认证。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67" w:hRule="atLeast"/>
          <w:jc w:val="center"/>
        </w:trPr>
        <w:tc>
          <w:tcPr>
            <w:tcW w:w="9640" w:type="dxa"/>
            <w:gridSpan w:val="9"/>
            <w:vAlign w:val="center"/>
          </w:tcPr>
          <w:p>
            <w:pPr>
              <w:jc w:val="center"/>
              <w:rPr>
                <w:rFonts w:eastAsia="仿宋_GB2312"/>
                <w:b/>
                <w:sz w:val="28"/>
              </w:rPr>
            </w:pPr>
            <w:r>
              <w:rPr>
                <w:rFonts w:eastAsia="仿宋_GB2312"/>
                <w:b/>
                <w:sz w:val="28"/>
              </w:rPr>
              <w:t>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1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1</w:t>
            </w:r>
          </w:p>
        </w:tc>
        <w:tc>
          <w:tcPr>
            <w:tcW w:w="2139" w:type="dxa"/>
            <w:gridSpan w:val="2"/>
            <w:vAlign w:val="center"/>
          </w:tcPr>
          <w:p>
            <w:pPr>
              <w:jc w:val="center"/>
              <w:rPr>
                <w:rFonts w:ascii="仿宋" w:hAnsi="仿宋" w:eastAsia="仿宋"/>
                <w:sz w:val="24"/>
              </w:rPr>
            </w:pPr>
            <w:r>
              <w:rPr>
                <w:rFonts w:ascii="仿宋" w:hAnsi="仿宋" w:eastAsia="仿宋"/>
                <w:sz w:val="24"/>
              </w:rPr>
              <w:t>质保期</w:t>
            </w:r>
          </w:p>
        </w:tc>
        <w:tc>
          <w:tcPr>
            <w:tcW w:w="6612" w:type="dxa"/>
            <w:gridSpan w:val="5"/>
            <w:vAlign w:val="center"/>
          </w:tcPr>
          <w:p>
            <w:pPr>
              <w:rPr>
                <w:rFonts w:hint="default" w:ascii="仿宋" w:hAnsi="仿宋" w:eastAsia="仿宋"/>
                <w:sz w:val="24"/>
                <w:lang w:val="en-US" w:eastAsia="zh-CN"/>
              </w:rPr>
            </w:pPr>
            <w:r>
              <w:rPr>
                <w:rFonts w:ascii="仿宋" w:hAnsi="仿宋" w:eastAsia="仿宋"/>
                <w:sz w:val="24"/>
              </w:rPr>
              <w:t>3年</w:t>
            </w:r>
            <w:r>
              <w:rPr>
                <w:rFonts w:hint="eastAsia" w:ascii="仿宋" w:hAnsi="仿宋" w:eastAsia="仿宋"/>
                <w:sz w:val="24"/>
                <w:lang w:eastAsia="zh-CN"/>
              </w:rPr>
              <w:t>，且验收时提供等级保护安全测评报告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10" w:hRule="atLeast"/>
          <w:jc w:val="center"/>
        </w:trPr>
        <w:tc>
          <w:tcPr>
            <w:tcW w:w="889" w:type="dxa"/>
            <w:gridSpan w:val="2"/>
            <w:vAlign w:val="center"/>
          </w:tcPr>
          <w:p>
            <w:pPr>
              <w:jc w:val="center"/>
              <w:rPr>
                <w:rFonts w:ascii="仿宋" w:hAnsi="仿宋" w:eastAsia="仿宋"/>
                <w:sz w:val="28"/>
              </w:rPr>
            </w:pPr>
            <w:r>
              <w:rPr>
                <w:rFonts w:hint="eastAsia" w:ascii="仿宋" w:hAnsi="仿宋" w:eastAsia="仿宋"/>
                <w:sz w:val="28"/>
              </w:rPr>
              <w:t>2</w:t>
            </w:r>
          </w:p>
        </w:tc>
        <w:tc>
          <w:tcPr>
            <w:tcW w:w="2145" w:type="dxa"/>
            <w:gridSpan w:val="3"/>
            <w:vAlign w:val="center"/>
          </w:tcPr>
          <w:p>
            <w:pPr>
              <w:jc w:val="center"/>
              <w:rPr>
                <w:rFonts w:ascii="仿宋" w:hAnsi="仿宋" w:eastAsia="仿宋"/>
                <w:sz w:val="24"/>
              </w:rPr>
            </w:pPr>
            <w:r>
              <w:rPr>
                <w:rFonts w:hint="eastAsia" w:ascii="仿宋" w:hAnsi="仿宋" w:eastAsia="仿宋"/>
                <w:sz w:val="24"/>
              </w:rPr>
              <w:t>备件库</w:t>
            </w:r>
          </w:p>
        </w:tc>
        <w:tc>
          <w:tcPr>
            <w:tcW w:w="6602" w:type="dxa"/>
            <w:gridSpan w:val="4"/>
            <w:vAlign w:val="center"/>
          </w:tcPr>
          <w:p>
            <w:pPr>
              <w:rPr>
                <w:rFonts w:ascii="仿宋" w:hAnsi="仿宋" w:eastAsia="仿宋"/>
                <w:sz w:val="24"/>
              </w:rPr>
            </w:pPr>
            <w:r>
              <w:rPr>
                <w:rFonts w:hint="eastAsia" w:ascii="仿宋" w:hAnsi="仿宋" w:eastAsia="仿宋"/>
                <w:sz w:val="24"/>
              </w:rPr>
              <w:t>国内有备件库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10" w:hRule="atLeast"/>
          <w:jc w:val="center"/>
        </w:trPr>
        <w:tc>
          <w:tcPr>
            <w:tcW w:w="889" w:type="dxa"/>
            <w:gridSpan w:val="2"/>
            <w:vAlign w:val="center"/>
          </w:tcPr>
          <w:p>
            <w:pPr>
              <w:jc w:val="center"/>
              <w:rPr>
                <w:rFonts w:ascii="仿宋" w:hAnsi="仿宋" w:eastAsia="仿宋"/>
                <w:sz w:val="28"/>
              </w:rPr>
            </w:pPr>
            <w:r>
              <w:rPr>
                <w:rFonts w:hint="eastAsia" w:ascii="仿宋" w:hAnsi="仿宋" w:eastAsia="仿宋"/>
                <w:sz w:val="28"/>
              </w:rPr>
              <w:t>3</w:t>
            </w:r>
          </w:p>
        </w:tc>
        <w:tc>
          <w:tcPr>
            <w:tcW w:w="2145" w:type="dxa"/>
            <w:gridSpan w:val="3"/>
            <w:vAlign w:val="center"/>
          </w:tcPr>
          <w:p>
            <w:pPr>
              <w:jc w:val="center"/>
              <w:rPr>
                <w:rFonts w:ascii="仿宋" w:hAnsi="仿宋" w:eastAsia="仿宋"/>
                <w:sz w:val="24"/>
              </w:rPr>
            </w:pPr>
            <w:r>
              <w:rPr>
                <w:rFonts w:hint="eastAsia" w:ascii="仿宋" w:hAnsi="仿宋" w:eastAsia="仿宋"/>
                <w:sz w:val="24"/>
              </w:rPr>
              <w:t>维修站</w:t>
            </w:r>
          </w:p>
        </w:tc>
        <w:tc>
          <w:tcPr>
            <w:tcW w:w="6602" w:type="dxa"/>
            <w:gridSpan w:val="4"/>
            <w:vAlign w:val="center"/>
          </w:tcPr>
          <w:p>
            <w:pPr>
              <w:rPr>
                <w:rFonts w:ascii="仿宋" w:hAnsi="仿宋" w:eastAsia="仿宋"/>
                <w:sz w:val="24"/>
              </w:rPr>
            </w:pPr>
            <w:r>
              <w:rPr>
                <w:rFonts w:hint="eastAsia" w:ascii="仿宋" w:hAnsi="仿宋" w:eastAsia="仿宋"/>
                <w:sz w:val="24"/>
              </w:rPr>
              <w:t>国内有维修站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51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4</w:t>
            </w:r>
          </w:p>
        </w:tc>
        <w:tc>
          <w:tcPr>
            <w:tcW w:w="2145" w:type="dxa"/>
            <w:gridSpan w:val="3"/>
            <w:vAlign w:val="center"/>
          </w:tcPr>
          <w:p>
            <w:pPr>
              <w:jc w:val="center"/>
              <w:rPr>
                <w:rFonts w:ascii="仿宋" w:hAnsi="仿宋" w:eastAsia="仿宋"/>
                <w:sz w:val="24"/>
              </w:rPr>
            </w:pPr>
            <w:r>
              <w:rPr>
                <w:rFonts w:hint="eastAsia" w:ascii="仿宋" w:hAnsi="仿宋" w:eastAsia="仿宋"/>
                <w:sz w:val="24"/>
              </w:rPr>
              <w:t>收费标准</w:t>
            </w:r>
          </w:p>
        </w:tc>
        <w:tc>
          <w:tcPr>
            <w:tcW w:w="6602" w:type="dxa"/>
            <w:gridSpan w:val="4"/>
            <w:vAlign w:val="center"/>
          </w:tcPr>
          <w:p>
            <w:pPr>
              <w:rPr>
                <w:rFonts w:ascii="仿宋" w:hAnsi="仿宋" w:eastAsia="仿宋"/>
                <w:sz w:val="24"/>
              </w:rPr>
            </w:pPr>
            <w:r>
              <w:rPr>
                <w:rFonts w:hint="eastAsia" w:ascii="仿宋" w:hAnsi="仿宋" w:eastAsia="仿宋"/>
                <w:sz w:val="24"/>
                <w:lang w:eastAsia="zh-CN"/>
              </w:rPr>
              <w:t>质保期外，当发生故障时，投标人应按质保期内同样的要求进行维修处理，收取维修费</w:t>
            </w:r>
            <w:r>
              <w:rPr>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1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5</w:t>
            </w:r>
          </w:p>
        </w:tc>
        <w:tc>
          <w:tcPr>
            <w:tcW w:w="2139" w:type="dxa"/>
            <w:gridSpan w:val="2"/>
            <w:vAlign w:val="center"/>
          </w:tcPr>
          <w:p>
            <w:pPr>
              <w:jc w:val="center"/>
              <w:rPr>
                <w:rFonts w:ascii="仿宋" w:hAnsi="仿宋" w:eastAsia="仿宋"/>
                <w:sz w:val="24"/>
              </w:rPr>
            </w:pPr>
            <w:r>
              <w:rPr>
                <w:rFonts w:ascii="仿宋" w:hAnsi="仿宋" w:eastAsia="仿宋"/>
                <w:sz w:val="24"/>
              </w:rPr>
              <w:t>培训支持</w:t>
            </w:r>
          </w:p>
        </w:tc>
        <w:tc>
          <w:tcPr>
            <w:tcW w:w="6612" w:type="dxa"/>
            <w:gridSpan w:val="5"/>
            <w:vAlign w:val="center"/>
          </w:tcPr>
          <w:p>
            <w:pPr>
              <w:rPr>
                <w:rFonts w:ascii="仿宋" w:hAnsi="仿宋" w:eastAsia="仿宋"/>
                <w:sz w:val="24"/>
              </w:rPr>
            </w:pPr>
            <w:r>
              <w:rPr>
                <w:rFonts w:hint="eastAsia" w:ascii="仿宋" w:hAnsi="仿宋" w:eastAsia="仿宋"/>
                <w:sz w:val="24"/>
              </w:rPr>
              <w:t>质保期内，提供</w:t>
            </w:r>
            <w:r>
              <w:rPr>
                <w:rFonts w:hint="eastAsia" w:ascii="仿宋" w:hAnsi="仿宋" w:eastAsia="仿宋"/>
                <w:sz w:val="24"/>
                <w:lang w:eastAsia="zh-CN"/>
              </w:rPr>
              <w:t>至少</w:t>
            </w:r>
            <w:r>
              <w:rPr>
                <w:rFonts w:hint="eastAsia" w:ascii="仿宋" w:hAnsi="仿宋" w:eastAsia="仿宋"/>
                <w:sz w:val="24"/>
                <w:lang w:val="en-US" w:eastAsia="zh-CN"/>
              </w:rPr>
              <w:t>3次免费</w:t>
            </w:r>
            <w:r>
              <w:rPr>
                <w:rFonts w:hint="eastAsia" w:ascii="仿宋" w:hAnsi="仿宋" w:eastAsia="仿宋"/>
                <w:sz w:val="24"/>
              </w:rPr>
              <w:t>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1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6</w:t>
            </w:r>
          </w:p>
        </w:tc>
        <w:tc>
          <w:tcPr>
            <w:tcW w:w="2139" w:type="dxa"/>
            <w:gridSpan w:val="2"/>
            <w:vAlign w:val="center"/>
          </w:tcPr>
          <w:p>
            <w:pPr>
              <w:jc w:val="center"/>
              <w:rPr>
                <w:rFonts w:ascii="仿宋" w:hAnsi="仿宋" w:eastAsia="仿宋"/>
                <w:sz w:val="24"/>
              </w:rPr>
            </w:pPr>
            <w:r>
              <w:rPr>
                <w:rFonts w:hint="eastAsia" w:ascii="仿宋" w:hAnsi="仿宋" w:eastAsia="仿宋"/>
                <w:sz w:val="24"/>
              </w:rPr>
              <w:t>维修</w:t>
            </w:r>
            <w:r>
              <w:rPr>
                <w:rFonts w:ascii="仿宋" w:hAnsi="仿宋" w:eastAsia="仿宋"/>
                <w:sz w:val="24"/>
              </w:rPr>
              <w:t>响应</w:t>
            </w:r>
          </w:p>
        </w:tc>
        <w:tc>
          <w:tcPr>
            <w:tcW w:w="6612" w:type="dxa"/>
            <w:gridSpan w:val="5"/>
            <w:vAlign w:val="center"/>
          </w:tcPr>
          <w:p>
            <w:pPr>
              <w:rPr>
                <w:rFonts w:ascii="仿宋" w:hAnsi="仿宋" w:eastAsia="仿宋"/>
                <w:sz w:val="24"/>
              </w:rPr>
            </w:pPr>
            <w:r>
              <w:rPr>
                <w:rFonts w:ascii="仿宋" w:hAnsi="仿宋" w:eastAsia="仿宋"/>
                <w:sz w:val="24"/>
              </w:rPr>
              <w:t>2小时内响应，48小时内到达现场。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trHeight w:val="510" w:hRule="atLeast"/>
          <w:jc w:val="center"/>
        </w:trPr>
        <w:tc>
          <w:tcPr>
            <w:tcW w:w="889" w:type="dxa"/>
            <w:gridSpan w:val="2"/>
            <w:vAlign w:val="center"/>
          </w:tcPr>
          <w:p>
            <w:pPr>
              <w:jc w:val="center"/>
              <w:rPr>
                <w:rFonts w:ascii="仿宋" w:hAnsi="仿宋" w:eastAsia="仿宋"/>
                <w:sz w:val="28"/>
              </w:rPr>
            </w:pPr>
            <w:r>
              <w:rPr>
                <w:rFonts w:ascii="仿宋" w:hAnsi="仿宋" w:eastAsia="仿宋"/>
                <w:sz w:val="28"/>
              </w:rPr>
              <w:t>7</w:t>
            </w:r>
          </w:p>
        </w:tc>
        <w:tc>
          <w:tcPr>
            <w:tcW w:w="2139" w:type="dxa"/>
            <w:gridSpan w:val="2"/>
            <w:vAlign w:val="center"/>
          </w:tcPr>
          <w:p>
            <w:pPr>
              <w:jc w:val="center"/>
              <w:rPr>
                <w:rFonts w:ascii="仿宋" w:hAnsi="仿宋" w:eastAsia="仿宋"/>
                <w:sz w:val="24"/>
              </w:rPr>
            </w:pPr>
            <w:r>
              <w:rPr>
                <w:rFonts w:ascii="仿宋" w:hAnsi="仿宋" w:eastAsia="仿宋"/>
                <w:sz w:val="24"/>
              </w:rPr>
              <w:t>到货时间</w:t>
            </w:r>
          </w:p>
        </w:tc>
        <w:tc>
          <w:tcPr>
            <w:tcW w:w="6612" w:type="dxa"/>
            <w:gridSpan w:val="5"/>
            <w:vAlign w:val="center"/>
          </w:tcPr>
          <w:p>
            <w:pPr>
              <w:rPr>
                <w:rFonts w:ascii="仿宋" w:hAnsi="仿宋" w:eastAsia="仿宋"/>
                <w:sz w:val="24"/>
              </w:rPr>
            </w:pPr>
            <w:r>
              <w:rPr>
                <w:rFonts w:ascii="仿宋" w:hAnsi="仿宋" w:eastAsia="仿宋"/>
                <w:sz w:val="24"/>
              </w:rPr>
              <w:t>签订正式合同软硬件配备完成后4个月之内。</w:t>
            </w:r>
          </w:p>
        </w:tc>
      </w:tr>
    </w:tbl>
    <w:p>
      <w:pPr>
        <w:spacing w:line="319" w:lineRule="exact"/>
        <w:ind w:left="720" w:hanging="720" w:hangingChars="300"/>
        <w:rPr>
          <w:rFonts w:eastAsia="仿宋_GB2312"/>
          <w:sz w:val="24"/>
        </w:rPr>
      </w:pPr>
      <w:r>
        <w:rPr>
          <w:rFonts w:eastAsia="仿宋_GB2312"/>
          <w:sz w:val="24"/>
        </w:rPr>
        <w:t>说明: 功能要求、配置清单为必备要求，从功能角度提出；技术参数应体现设备档次要求，参数中区分“</w:t>
      </w:r>
      <w:r>
        <w:rPr>
          <w:rFonts w:hint="eastAsia" w:ascii="宋体" w:hAnsi="宋体" w:cs="宋体"/>
          <w:sz w:val="24"/>
        </w:rPr>
        <w:t>★</w:t>
      </w:r>
      <w:r>
        <w:rPr>
          <w:rFonts w:eastAsia="仿宋_GB2312"/>
          <w:sz w:val="24"/>
        </w:rPr>
        <w:t>”、“</w:t>
      </w:r>
      <w:r>
        <w:rPr>
          <w:rFonts w:eastAsia="仿宋_GB2312"/>
          <w:b/>
          <w:sz w:val="24"/>
        </w:rPr>
        <w:t>＃</w:t>
      </w:r>
      <w:r>
        <w:rPr>
          <w:rFonts w:eastAsia="仿宋_GB2312"/>
          <w:sz w:val="24"/>
        </w:rPr>
        <w:t>”参数，其中“</w:t>
      </w:r>
      <w:r>
        <w:rPr>
          <w:rFonts w:hint="eastAsia" w:ascii="宋体" w:hAnsi="宋体" w:cs="宋体"/>
          <w:sz w:val="24"/>
        </w:rPr>
        <w:t>★</w:t>
      </w:r>
      <w:r>
        <w:rPr>
          <w:rFonts w:eastAsia="仿宋_GB2312"/>
          <w:sz w:val="24"/>
        </w:rPr>
        <w:t>”参数为核心参数，为必须满足参数；“</w:t>
      </w:r>
      <w:r>
        <w:rPr>
          <w:rFonts w:eastAsia="仿宋_GB2312"/>
          <w:b/>
          <w:sz w:val="24"/>
        </w:rPr>
        <w:t>＃</w:t>
      </w:r>
      <w:r>
        <w:rPr>
          <w:rFonts w:eastAsia="仿宋_GB2312"/>
          <w:sz w:val="24"/>
        </w:rPr>
        <w:t>”参数为重要参数，在采购评审中分值较高。售后服务要求尽量填写，没有要求的可不填。</w:t>
      </w:r>
    </w:p>
    <w:sectPr>
      <w:pgSz w:w="11907" w:h="16840" w:orient="landscape"/>
      <w:pgMar w:top="1134" w:right="1474" w:bottom="1021" w:left="1474" w:header="850" w:footer="99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F33"/>
    <w:multiLevelType w:val="multilevel"/>
    <w:tmpl w:val="047A6F33"/>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D0171D"/>
    <w:multiLevelType w:val="multilevel"/>
    <w:tmpl w:val="0DD0171D"/>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E9D4656"/>
    <w:multiLevelType w:val="multilevel"/>
    <w:tmpl w:val="0E9D4656"/>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6E92132"/>
    <w:multiLevelType w:val="multilevel"/>
    <w:tmpl w:val="16E92132"/>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C0936DB"/>
    <w:multiLevelType w:val="multilevel"/>
    <w:tmpl w:val="1C0936DB"/>
    <w:lvl w:ilvl="0" w:tentative="0">
      <w:start w:val="1"/>
      <w:numFmt w:val="decimal"/>
      <w:lvlText w:val="%1."/>
      <w:lvlJc w:val="left"/>
      <w:pPr>
        <w:ind w:left="420" w:hanging="420"/>
      </w:pPr>
      <w:rPr>
        <w:rFonts w:hint="eastAsia"/>
      </w:rPr>
    </w:lvl>
    <w:lvl w:ilvl="1" w:tentative="0">
      <w:start w:val="0"/>
      <w:numFmt w:val="decimal"/>
      <w:lvlText w:val=""/>
      <w:lvlJc w:val="left"/>
      <w:pPr>
        <w:ind w:left="0" w:firstLine="0"/>
      </w:pPr>
      <w:rPr>
        <w:rFonts w:hint="eastAsia"/>
      </w:rPr>
    </w:lvl>
    <w:lvl w:ilvl="2" w:tentative="0">
      <w:start w:val="0"/>
      <w:numFmt w:val="decimal"/>
      <w:lvlText w:val=""/>
      <w:lvlJc w:val="left"/>
      <w:pPr>
        <w:ind w:left="0" w:firstLine="0"/>
      </w:pPr>
      <w:rPr>
        <w:rFonts w:hint="eastAsia"/>
      </w:rPr>
    </w:lvl>
    <w:lvl w:ilvl="3" w:tentative="0">
      <w:start w:val="0"/>
      <w:numFmt w:val="decimal"/>
      <w:lvlText w:val=""/>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5">
    <w:nsid w:val="1CA76BDC"/>
    <w:multiLevelType w:val="multilevel"/>
    <w:tmpl w:val="1CA76BDC"/>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6F36C3E"/>
    <w:multiLevelType w:val="multilevel"/>
    <w:tmpl w:val="26F36C3E"/>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CAA243F"/>
    <w:multiLevelType w:val="multilevel"/>
    <w:tmpl w:val="2CAA243F"/>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51225C7"/>
    <w:multiLevelType w:val="multilevel"/>
    <w:tmpl w:val="351225C7"/>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8420CE8"/>
    <w:multiLevelType w:val="multilevel"/>
    <w:tmpl w:val="38420CE8"/>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8F837DC"/>
    <w:multiLevelType w:val="multilevel"/>
    <w:tmpl w:val="38F837DC"/>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4121841"/>
    <w:multiLevelType w:val="multilevel"/>
    <w:tmpl w:val="44121841"/>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26214B2"/>
    <w:multiLevelType w:val="multilevel"/>
    <w:tmpl w:val="626214B2"/>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7E34D70"/>
    <w:multiLevelType w:val="multilevel"/>
    <w:tmpl w:val="67E34D70"/>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C8D3BB7"/>
    <w:multiLevelType w:val="multilevel"/>
    <w:tmpl w:val="6C8D3BB7"/>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FE3188C"/>
    <w:multiLevelType w:val="multilevel"/>
    <w:tmpl w:val="6FE3188C"/>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83C651E"/>
    <w:multiLevelType w:val="multilevel"/>
    <w:tmpl w:val="783C651E"/>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1"/>
  </w:num>
  <w:num w:numId="3">
    <w:abstractNumId w:val="15"/>
  </w:num>
  <w:num w:numId="4">
    <w:abstractNumId w:val="16"/>
  </w:num>
  <w:num w:numId="5">
    <w:abstractNumId w:val="6"/>
  </w:num>
  <w:num w:numId="6">
    <w:abstractNumId w:val="3"/>
  </w:num>
  <w:num w:numId="7">
    <w:abstractNumId w:val="0"/>
  </w:num>
  <w:num w:numId="8">
    <w:abstractNumId w:val="7"/>
  </w:num>
  <w:num w:numId="9">
    <w:abstractNumId w:val="5"/>
  </w:num>
  <w:num w:numId="10">
    <w:abstractNumId w:val="9"/>
  </w:num>
  <w:num w:numId="11">
    <w:abstractNumId w:val="2"/>
  </w:num>
  <w:num w:numId="12">
    <w:abstractNumId w:val="11"/>
  </w:num>
  <w:num w:numId="13">
    <w:abstractNumId w:val="12"/>
  </w:num>
  <w:num w:numId="14">
    <w:abstractNumId w:val="10"/>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YmQ3NzcwYTZiYzQ4MzQ1Yzc5MGI4NmU5OGY5NmEifQ=="/>
  </w:docVars>
  <w:rsids>
    <w:rsidRoot w:val="002A0D42"/>
    <w:rsid w:val="000D21BA"/>
    <w:rsid w:val="00132630"/>
    <w:rsid w:val="001335B3"/>
    <w:rsid w:val="001455E6"/>
    <w:rsid w:val="001A25F0"/>
    <w:rsid w:val="001A3002"/>
    <w:rsid w:val="00240BD7"/>
    <w:rsid w:val="00296BC5"/>
    <w:rsid w:val="002A0D42"/>
    <w:rsid w:val="002C121B"/>
    <w:rsid w:val="002D3722"/>
    <w:rsid w:val="002E7763"/>
    <w:rsid w:val="00351C66"/>
    <w:rsid w:val="00356B64"/>
    <w:rsid w:val="00360CBB"/>
    <w:rsid w:val="005C614F"/>
    <w:rsid w:val="005E0ACF"/>
    <w:rsid w:val="005F0A71"/>
    <w:rsid w:val="00640681"/>
    <w:rsid w:val="00685C79"/>
    <w:rsid w:val="0070447D"/>
    <w:rsid w:val="00736877"/>
    <w:rsid w:val="00772E09"/>
    <w:rsid w:val="00814998"/>
    <w:rsid w:val="00830A07"/>
    <w:rsid w:val="008431A7"/>
    <w:rsid w:val="008F794C"/>
    <w:rsid w:val="009161EA"/>
    <w:rsid w:val="00950EE5"/>
    <w:rsid w:val="009E5BF9"/>
    <w:rsid w:val="00A54F3C"/>
    <w:rsid w:val="00AA7202"/>
    <w:rsid w:val="00B275F1"/>
    <w:rsid w:val="00B519E5"/>
    <w:rsid w:val="00B72C0B"/>
    <w:rsid w:val="00BA28D7"/>
    <w:rsid w:val="00BD5AA9"/>
    <w:rsid w:val="00BF303A"/>
    <w:rsid w:val="00C25D88"/>
    <w:rsid w:val="00C42B71"/>
    <w:rsid w:val="00C60309"/>
    <w:rsid w:val="00CB02A3"/>
    <w:rsid w:val="00CF45B9"/>
    <w:rsid w:val="00D34193"/>
    <w:rsid w:val="00D605BD"/>
    <w:rsid w:val="00DB21E4"/>
    <w:rsid w:val="00DB259B"/>
    <w:rsid w:val="00E0650A"/>
    <w:rsid w:val="00E45A2C"/>
    <w:rsid w:val="00E73FB4"/>
    <w:rsid w:val="00E97742"/>
    <w:rsid w:val="00EC5947"/>
    <w:rsid w:val="00EE3576"/>
    <w:rsid w:val="00F42F79"/>
    <w:rsid w:val="00F43B16"/>
    <w:rsid w:val="0E077260"/>
    <w:rsid w:val="156F6E3B"/>
    <w:rsid w:val="1D1C43B1"/>
    <w:rsid w:val="23013022"/>
    <w:rsid w:val="2B626DED"/>
    <w:rsid w:val="2FD13A0C"/>
    <w:rsid w:val="4E7E3190"/>
    <w:rsid w:val="630E1FE2"/>
    <w:rsid w:val="6781789C"/>
    <w:rsid w:val="6BA73F43"/>
    <w:rsid w:val="6CA709F1"/>
    <w:rsid w:val="6EBF5ED9"/>
    <w:rsid w:val="73671728"/>
    <w:rsid w:val="76266AA2"/>
    <w:rsid w:val="77DB1E68"/>
    <w:rsid w:val="78864952"/>
    <w:rsid w:val="7B53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24"/>
    </w:rPr>
  </w:style>
  <w:style w:type="paragraph" w:styleId="3">
    <w:name w:val="Plain Text"/>
    <w:basedOn w:val="1"/>
    <w:qFormat/>
    <w:uiPriority w:val="0"/>
    <w:rPr>
      <w:rFonts w:ascii="宋体" w:hAnsi="Courier New" w:cs="Courier New"/>
    </w:rPr>
  </w:style>
  <w:style w:type="paragraph" w:styleId="4">
    <w:name w:val="Date"/>
    <w:basedOn w:val="1"/>
    <w:next w:val="1"/>
    <w:qFormat/>
    <w:uiPriority w:val="0"/>
    <w:pPr>
      <w:ind w:left="100" w:leftChars="2500"/>
    </w:pPr>
  </w:style>
  <w:style w:type="paragraph" w:styleId="5">
    <w:name w:val="Balloon Text"/>
    <w:basedOn w:val="1"/>
    <w:qFormat/>
    <w:uiPriority w:val="0"/>
    <w:rPr>
      <w:sz w:val="18"/>
    </w:rPr>
  </w:style>
  <w:style w:type="paragraph" w:styleId="6">
    <w:name w:val="footer"/>
    <w:basedOn w:val="1"/>
    <w:qFormat/>
    <w:uiPriority w:val="0"/>
    <w:rPr>
      <w:sz w:val="18"/>
    </w:rPr>
  </w:style>
  <w:style w:type="paragraph" w:styleId="7">
    <w:name w:val="header"/>
    <w:basedOn w:val="1"/>
    <w:qFormat/>
    <w:uiPriority w:val="0"/>
    <w:pPr>
      <w:pBdr>
        <w:bottom w:val="single" w:color="000000" w:sz="6" w:space="1"/>
      </w:pBdr>
      <w:jc w:val="center"/>
    </w:pPr>
    <w:rPr>
      <w:sz w:val="18"/>
    </w:rPr>
  </w:style>
  <w:style w:type="table" w:styleId="9">
    <w:name w:val="Table Grid"/>
    <w:basedOn w:val="8"/>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样式3"/>
    <w:basedOn w:val="3"/>
    <w:qFormat/>
    <w:uiPriority w:val="0"/>
    <w:pPr>
      <w:spacing w:line="0" w:lineRule="atLeast"/>
    </w:pPr>
    <w:rPr>
      <w:rFonts w:cs="Times New Roman"/>
      <w:sz w:val="28"/>
    </w:rPr>
  </w:style>
  <w:style w:type="character" w:customStyle="1" w:styleId="14">
    <w:name w:val="文档结构图 字符"/>
    <w:qFormat/>
    <w:uiPriority w:val="0"/>
    <w:rPr>
      <w:rFonts w:ascii="宋体"/>
      <w:kern w:val="2"/>
      <w:sz w:val="24"/>
    </w:rPr>
  </w:style>
  <w:style w:type="character" w:customStyle="1" w:styleId="15">
    <w:name w:val="批注框文本 字符"/>
    <w:qFormat/>
    <w:uiPriority w:val="0"/>
    <w:rPr>
      <w:kern w:val="2"/>
      <w:sz w:val="18"/>
    </w:rPr>
  </w:style>
  <w:style w:type="paragraph" w:styleId="16">
    <w:name w:val="List Paragraph"/>
    <w:basedOn w:val="1"/>
    <w:qFormat/>
    <w:uiPriority w:val="0"/>
    <w:pPr>
      <w:ind w:firstLine="420" w:firstLineChars="200"/>
    </w:pPr>
  </w:style>
  <w:style w:type="paragraph" w:customStyle="1" w:styleId="17">
    <w:name w:val="Revision"/>
    <w:qFormat/>
    <w:uiPriority w:val="0"/>
    <w:rPr>
      <w:rFonts w:asciiTheme="minorHAnsi" w:hAnsiTheme="minorHAnsi" w:eastAsiaTheme="minorEastAsia"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4420</Words>
  <Characters>4539</Characters>
  <Lines>34</Lines>
  <Paragraphs>9</Paragraphs>
  <TotalTime>0</TotalTime>
  <ScaleCrop>false</ScaleCrop>
  <LinksUpToDate>false</LinksUpToDate>
  <CharactersWithSpaces>4636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一粒尘埃。</cp:lastModifiedBy>
  <cp:lastPrinted>2022-04-07T09:07:00Z</cp:lastPrinted>
  <dcterms:modified xsi:type="dcterms:W3CDTF">2022-05-12T06:42:17Z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D32EB311756048918C71924877776100</vt:lpwstr>
  </property>
</Properties>
</file>