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1、</w:t>
      </w:r>
      <w:r>
        <w:rPr>
          <w:rFonts w:ascii="宋体" w:hAnsi="宋体" w:eastAsia="宋体"/>
          <w:sz w:val="24"/>
          <w:szCs w:val="24"/>
        </w:rPr>
        <w:t>2021-JK17-W1034</w:t>
      </w:r>
    </w:p>
    <w:tbl>
      <w:tblPr>
        <w:tblStyle w:val="5"/>
        <w:tblpPr w:leftFromText="180" w:rightFromText="180" w:vertAnchor="text" w:horzAnchor="margin" w:tblpXSpec="center" w:tblpY="229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851"/>
        <w:gridCol w:w="850"/>
        <w:gridCol w:w="1701"/>
        <w:gridCol w:w="1985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采购编号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设备最高限价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是否必须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2021-JK17-W1034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全自动生化分析仪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□是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eastAsia="宋体" w:cs="Segoe UI Symbol"/>
                <w:color w:val="000000"/>
                <w:sz w:val="24"/>
                <w:szCs w:val="24"/>
              </w:rPr>
              <w:t>☑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tbl>
      <w:tblPr>
        <w:tblStyle w:val="5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931"/>
        <w:gridCol w:w="8"/>
        <w:gridCol w:w="3816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6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626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用于检测血液、血清、血浆等生化指标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6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4" w:type="dxa"/>
            <w:gridSpan w:val="3"/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序号</w:t>
            </w:r>
          </w:p>
        </w:tc>
        <w:tc>
          <w:tcPr>
            <w:tcW w:w="3816" w:type="dxa"/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</w:t>
            </w:r>
          </w:p>
        </w:tc>
        <w:tc>
          <w:tcPr>
            <w:tcW w:w="3026" w:type="dxa"/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主机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光学系统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温控系统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样本系统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试剂系统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反应系统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清洗及搅拌系统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软件系统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UPS（断电后持续时间30min以上）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品牌电脑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指标名称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基本要求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★1.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1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检测速度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纯生化≥800 测试/小时，≥1000测试/小时（带ISE）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1.2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仿宋"/>
                <w:color w:val="000000"/>
              </w:rPr>
              <w:t>检测方法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tabs>
                <w:tab w:val="left" w:pos="45"/>
                <w:tab w:val="left" w:pos="2268"/>
              </w:tabs>
              <w:spacing w:line="360" w:lineRule="auto"/>
              <w:ind w:left="-2"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终点法、速率法（动力学法）、两点终点法、两点速率法（两点动力学法），可以实现双波长检测、空白扣除法（试剂空白、样本空白、水空白）、免疫比浊检测、非线性检测等。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1.3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仿宋"/>
                <w:color w:val="000000"/>
              </w:rPr>
              <w:t>定标方法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pStyle w:val="11"/>
              <w:spacing w:line="276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单点线性、两点线性、多点线性、非线性等，定标公式≥6种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1.4</w:t>
            </w:r>
          </w:p>
        </w:tc>
        <w:tc>
          <w:tcPr>
            <w:tcW w:w="1931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急诊检测能力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急诊样本可以随时插入并优先检测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1.5</w:t>
            </w:r>
          </w:p>
        </w:tc>
        <w:tc>
          <w:tcPr>
            <w:tcW w:w="1931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待机功能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具有24小时连续开机，自动休眠,</w:t>
            </w:r>
            <w:r>
              <w:rPr>
                <w:rFonts w:hint="eastAsia" w:ascii="宋体" w:hAnsi="宋体" w:cs="仿宋"/>
                <w:sz w:val="24"/>
                <w:szCs w:val="24"/>
              </w:rPr>
              <w:t>一键启动功能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仿宋"/>
                <w:b/>
                <w:bCs/>
              </w:rPr>
              <w:t>光学系统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2.1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仿宋"/>
                <w:color w:val="000000"/>
              </w:rPr>
              <w:t>光源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长寿命卤素灯，光源灯自动休眠，光源灯风冷散热，平均寿命≥2000小时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2.2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仿宋"/>
                <w:color w:val="000000"/>
              </w:rPr>
              <w:t>分光方式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后分光方式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2.3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仿宋"/>
                <w:color w:val="000000"/>
              </w:rPr>
              <w:t>波长数量及范围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 xml:space="preserve">波长数量≥12个，波长范围要求（340-800）nm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2.4</w:t>
            </w:r>
          </w:p>
        </w:tc>
        <w:tc>
          <w:tcPr>
            <w:tcW w:w="19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吸光度显示范围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 xml:space="preserve">（0-3.5）Abs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2.5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仿宋"/>
                <w:color w:val="000000"/>
              </w:rPr>
              <w:t>杂散光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当测定波长为 340nm时，吸光度≥3.5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  <w:b/>
                <w:bCs/>
              </w:rPr>
              <w:t>温控系统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3.1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反应盘温控方式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非水浴免维护免保养的恒温方式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  <w:b/>
                <w:bCs/>
              </w:rPr>
              <w:t>样本系统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4.1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进样方式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智能灵活，圆盘式或轨道进样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4.2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样本针功能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液面感应、随量跟踪功能，具备立体防撞、自动保护功能。可选配样本针堵针自动检测功能（凝块检测功能）。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4.3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最小样本量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 xml:space="preserve">最小1.5μL，0.1μL递增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4.4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样本位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 xml:space="preserve">≥99样本位（不含软件扩展位）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4.5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样本携带污染率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≤0.05%（提供检测报告）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4.6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样本管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通用试管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  <w:b/>
                <w:bCs/>
              </w:rPr>
              <w:t>试剂系统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5.1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试剂量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（15-500）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μL</w:t>
            </w: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0.5μL递增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5.2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试剂位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 xml:space="preserve">≥150个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5.3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试剂冷藏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24小时独立风冷系统，冷藏温度2℃～8℃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5.4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试剂开放性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完全开放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5.5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条码功能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具有试剂条码扫描功能，支持至少5种条码规则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5.6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试剂盘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 xml:space="preserve">独立的试剂盘≥2个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5.7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试剂报警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  <w:b/>
                <w:bCs/>
              </w:rPr>
              <w:t>反应系统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6.1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反应位及杯材质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≥160个UV硬质材料（可选配石英比色杯）。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6.2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最小反应体积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 xml:space="preserve">≤90μL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  <w:b/>
              </w:rPr>
              <w:t>清洗及搅拌系统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7.1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清洗用水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清洗用水采用恒温预热系统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7.2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搅拌系统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可调式变频搅拌技术，四根搅拌针循环使用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7.2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耗水量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≤35L/H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7.3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清洗通道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提供独立通道清洗液系统；针对高污染项目，项目间可插入独立清洗。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  <w:b/>
              </w:rPr>
              <w:t>软件系统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8.1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软件管理功能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多级权限管理，保证数据信息安全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8.2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监控功能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比色杯在线监控，实时杯空白，可实时显示项目反应全部过程，测试过程可自动跳过不合格的比色杯并标记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8.3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预稀释/重测功能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 xml:space="preserve">软件可自动识别底物耗尽、超线性范围等样本，对此类样本自动样本重测、预稀释重测，稀释倍数≥200倍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8.4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数据重置功能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对于测试异常样本（底物耗尽、超线性范围等）能够再次选择测量点，重新计算而无需重新检测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8.5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</w:rPr>
              <w:t>酶线性核查、拓展功能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自动核查搜索酶线性反应区间，自动获得真实结果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★</w:t>
            </w:r>
            <w:r>
              <w:rPr>
                <w:rFonts w:ascii="宋体" w:hAnsi="宋体" w:eastAsia="宋体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软硬件配置清单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1、主机（1）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2、光学系统（1）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3、温控系统（1）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4、样本系统（1）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bCs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、试剂系统（1）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6、反应系统（1）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7、清洗及搅拌系统（1）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8、软件系统（1）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9、</w:t>
            </w:r>
            <w:r>
              <w:rPr>
                <w:rFonts w:ascii="宋体" w:hAnsi="宋体" w:eastAsia="宋体" w:cs="仿宋_GB2312"/>
                <w:bCs/>
                <w:sz w:val="24"/>
                <w:szCs w:val="24"/>
              </w:rPr>
              <w:t>UPS（断电后持续时间30min以上）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（1）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 w:cs="仿宋_GB2312"/>
                <w:bCs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、品牌电脑（1）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售后服务要求（每一项都是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“★”</w:t>
            </w:r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质保期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整机原厂保修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≧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备件库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维修站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收费标准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质保期外维修不收取人工费，配件8折以上优惠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培训支持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西安有常驻维修工程师，至少提供≥2次使用培训，维修工程师提供基本维护保养培训，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设备故障无法修复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≧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48小时，提供备用机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维修响应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响应时间≤</w:t>
            </w:r>
            <w:r>
              <w:rPr>
                <w:rFonts w:ascii="宋体" w:hAnsi="宋体" w:eastAsia="宋体" w:cs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小时，到达现场时间≤2</w:t>
            </w:r>
            <w:r>
              <w:rPr>
                <w:rFonts w:ascii="宋体" w:hAnsi="宋体" w:eastAsia="宋体" w:cs="仿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931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"/>
                <w:color w:val="000000"/>
              </w:rPr>
              <w:t>到货日期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合同签订后30天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</w:t>
      </w:r>
      <w:r>
        <w:rPr>
          <w:rFonts w:ascii="宋体" w:hAnsi="宋体" w:eastAsia="宋体"/>
          <w:sz w:val="24"/>
          <w:szCs w:val="24"/>
        </w:rPr>
        <w:t>: 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</w: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outlineLvl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</w:t>
      </w:r>
      <w:r>
        <w:rPr>
          <w:rFonts w:ascii="宋体" w:hAnsi="宋体" w:eastAsia="宋体"/>
          <w:sz w:val="24"/>
          <w:szCs w:val="24"/>
        </w:rPr>
        <w:t>2021-JK17-W1066</w:t>
      </w:r>
    </w:p>
    <w:tbl>
      <w:tblPr>
        <w:tblStyle w:val="5"/>
        <w:tblpPr w:leftFromText="180" w:rightFromText="180" w:vertAnchor="text" w:horzAnchor="margin" w:tblpXSpec="center" w:tblpY="229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304"/>
        <w:gridCol w:w="1106"/>
        <w:gridCol w:w="850"/>
        <w:gridCol w:w="1701"/>
        <w:gridCol w:w="1985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采购编号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采购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设备最高限价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是否必须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2021-JK17-W1066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经胸移动B超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Segoe UI Symbol" w:hAnsi="Segoe UI Symbol" w:eastAsia="宋体" w:cs="Segoe UI Symbol"/>
                <w:color w:val="000000"/>
                <w:sz w:val="24"/>
                <w:szCs w:val="24"/>
              </w:rPr>
              <w:t>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是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tbl>
      <w:tblPr>
        <w:tblStyle w:val="5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269"/>
        <w:gridCol w:w="3486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6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626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以成人心脏、小儿心脏、新生儿心脏临床诊断应用和相关科研为主，支持成人及小儿经食管超声心动图成像，体腔超声、术中介入超声，血管、腹部、浅表组织与小器官、外周血管等全身检查应用，所配软件为该机型的最新版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6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序号</w:t>
            </w:r>
          </w:p>
        </w:tc>
        <w:tc>
          <w:tcPr>
            <w:tcW w:w="3486" w:type="dxa"/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</w:t>
            </w:r>
          </w:p>
        </w:tc>
        <w:tc>
          <w:tcPr>
            <w:tcW w:w="3026" w:type="dxa"/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彩超主机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心脏探头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腹部探头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血管浅表探头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台车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指标名称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证明文件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提供原厂原版技术白皮书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显示器尺寸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spacing w:line="276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≥15寸高分辨率液晶显示器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触屏功能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spacing w:line="276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带触摸功能的液晶监视器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＃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主机系统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数字化通道数≥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＃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主机系统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动态范围≥1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dB，可视可调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＃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探头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单晶体成人心脏探头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＃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探头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单晶体腹部探头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★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探头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支持二维经食道探头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二维灰阶成像单元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具备空间复合成像技术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二维灰阶成像单元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具备斑点噪声抑制技术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二维灰阶成像单元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具备增益调节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频谱多普勒显示及分析系统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自动多普勒分析，可以应用于心功能分析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频谱多普勒显示及分析系统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智能优化技术自动优化Doppler频谱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频谱多普勒显示及分析系统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高帧频实时解剖M型，360度范围内可调可移动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彩色血流成像（部件）单元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超宽频带血流技术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彩色血流成像（部件）单元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自适应彩色多普勒技术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彩色血流成像（部件）单元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智能优化技术自动优化彩色血流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测量和分析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一般测量、多普勒血流测量及分析、外周血管测量、心脏功能测量与分析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测量和分析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自动、实时Doppler 频谱波形分析，实时和冻结状态下都可以进行分析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测量和分析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心尖成像，成人、儿童有效显示视野≥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110°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测量和分析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内置冠脉血流显像软件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测量和分析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在机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血管内中膜自动测量技术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测量和分析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内置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二维斑点追踪应变定量技术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测量和分析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内置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组织多普勒应变定量技术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测量和分析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心脏频谱自动测量：可对心脏瓣膜彩色血流频谱及组织多普勒频谱进行全自动识别，并全自动进行频谱多个心动周期的自动包络和命名，自动测量并将结果导入到报告系统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测量和分析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二维左心房应变定量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测量和分析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二维右心室应变定量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测量和分析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心腔内超声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台车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专用台车，可放置及固定主机系统及相关备件，高度可调,台车探头接口≥3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★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电池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配备原厂台车续航电池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探头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支持四维经食道探头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★</w:t>
            </w:r>
            <w:r>
              <w:rPr>
                <w:rFonts w:ascii="宋体" w:hAnsi="宋体" w:eastAsia="宋体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软硬件配置清单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1、彩超主机（1台）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2、心脏探头（</w:t>
            </w:r>
            <w:r>
              <w:rPr>
                <w:rFonts w:ascii="宋体" w:hAnsi="宋体" w:eastAsia="宋体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个）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3、腹部探头（</w:t>
            </w:r>
            <w:r>
              <w:rPr>
                <w:rFonts w:ascii="宋体" w:hAnsi="宋体" w:eastAsia="宋体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个）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4、血管浅表探头（</w:t>
            </w:r>
            <w:r>
              <w:rPr>
                <w:rFonts w:ascii="宋体" w:hAnsi="宋体" w:eastAsia="宋体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个）</w:t>
            </w:r>
          </w:p>
          <w:p>
            <w:pPr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5、台车（</w:t>
            </w:r>
            <w:r>
              <w:rPr>
                <w:rFonts w:ascii="宋体" w:hAnsi="宋体" w:eastAsia="宋体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售后服务要求（每一项都是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“★”</w:t>
            </w:r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jc w:val="center"/>
              <w:rPr>
                <w:rFonts w:cs="仿宋_GB2312"/>
                <w:b/>
                <w:bCs/>
              </w:rPr>
            </w:pPr>
            <w:r>
              <w:rPr>
                <w:rFonts w:hint="eastAsia" w:cs="仿宋"/>
                <w:color w:val="000000"/>
              </w:rPr>
              <w:t>质保期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整机原厂保修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≧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jc w:val="center"/>
              <w:rPr>
                <w:rFonts w:cs="仿宋_GB2312"/>
                <w:b/>
                <w:bCs/>
              </w:rPr>
            </w:pPr>
            <w:r>
              <w:rPr>
                <w:rFonts w:hint="eastAsia" w:cs="仿宋"/>
                <w:color w:val="000000"/>
              </w:rPr>
              <w:t>备件库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jc w:val="center"/>
              <w:rPr>
                <w:rFonts w:cs="仿宋_GB2312"/>
                <w:b/>
                <w:bCs/>
              </w:rPr>
            </w:pPr>
            <w:r>
              <w:rPr>
                <w:rFonts w:hint="eastAsia" w:cs="仿宋"/>
                <w:color w:val="000000"/>
              </w:rPr>
              <w:t>维修站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西安有厂家维修站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jc w:val="center"/>
              <w:rPr>
                <w:rFonts w:cs="仿宋_GB2312"/>
                <w:b/>
                <w:bCs/>
              </w:rPr>
            </w:pPr>
            <w:r>
              <w:rPr>
                <w:rFonts w:hint="eastAsia" w:cs="仿宋"/>
                <w:color w:val="000000"/>
              </w:rPr>
              <w:t>收费标准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质保期外维修不收取人工费，配件8折以上优惠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jc w:val="center"/>
              <w:rPr>
                <w:rFonts w:cs="仿宋_GB2312"/>
                <w:b/>
                <w:bCs/>
              </w:rPr>
            </w:pPr>
            <w:r>
              <w:rPr>
                <w:rFonts w:hint="eastAsia" w:cs="仿宋"/>
                <w:color w:val="000000"/>
              </w:rPr>
              <w:t>培训支持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厂家在西安有维修工程师，提供≥2次使用培训，维修工程师提供基本维护保养培训，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设备故障≧48小时提供备用机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jc w:val="center"/>
              <w:rPr>
                <w:rFonts w:cs="仿宋_GB2312"/>
                <w:b/>
                <w:bCs/>
              </w:rPr>
            </w:pPr>
            <w:r>
              <w:rPr>
                <w:rFonts w:hint="eastAsia" w:cs="仿宋"/>
                <w:color w:val="000000"/>
              </w:rPr>
              <w:t>维修响应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响应时间≤</w:t>
            </w:r>
            <w:r>
              <w:rPr>
                <w:rFonts w:ascii="宋体" w:hAnsi="宋体" w:eastAsia="宋体" w:cs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小时，到达现场时间≤2</w:t>
            </w:r>
            <w:r>
              <w:rPr>
                <w:rFonts w:ascii="宋体" w:hAnsi="宋体" w:eastAsia="宋体" w:cs="仿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>
            <w:pPr>
              <w:pStyle w:val="4"/>
              <w:jc w:val="center"/>
              <w:rPr>
                <w:rFonts w:cs="仿宋_GB2312"/>
                <w:b/>
                <w:bCs/>
              </w:rPr>
            </w:pPr>
            <w:r>
              <w:rPr>
                <w:rFonts w:hint="eastAsia" w:cs="仿宋"/>
                <w:color w:val="000000"/>
              </w:rPr>
              <w:t>到货时间</w:t>
            </w:r>
          </w:p>
        </w:tc>
        <w:tc>
          <w:tcPr>
            <w:tcW w:w="6512" w:type="dxa"/>
            <w:gridSpan w:val="2"/>
            <w:vAlign w:val="center"/>
          </w:tcPr>
          <w:p>
            <w:pPr>
              <w:rPr>
                <w:rFonts w:ascii="宋体" w:hAnsi="宋体" w:eastAsia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合同签订后</w:t>
            </w:r>
            <w:r>
              <w:rPr>
                <w:rFonts w:ascii="宋体" w:hAnsi="宋体" w:eastAsia="宋体" w:cs="仿宋"/>
                <w:color w:val="000000"/>
                <w:sz w:val="24"/>
                <w:szCs w:val="24"/>
              </w:rPr>
              <w:t>60</w:t>
            </w: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天内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</w:t>
      </w:r>
      <w:r>
        <w:rPr>
          <w:rFonts w:ascii="宋体" w:hAnsi="宋体" w:eastAsia="宋体"/>
          <w:sz w:val="24"/>
          <w:szCs w:val="24"/>
        </w:rPr>
        <w:t>: 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9D"/>
    <w:rsid w:val="00094DB6"/>
    <w:rsid w:val="00115470"/>
    <w:rsid w:val="002B3249"/>
    <w:rsid w:val="00310CA8"/>
    <w:rsid w:val="00337022"/>
    <w:rsid w:val="00366E5E"/>
    <w:rsid w:val="0038167B"/>
    <w:rsid w:val="0038718A"/>
    <w:rsid w:val="00394AE8"/>
    <w:rsid w:val="003D4F29"/>
    <w:rsid w:val="003F6E38"/>
    <w:rsid w:val="0044179D"/>
    <w:rsid w:val="00444398"/>
    <w:rsid w:val="00495530"/>
    <w:rsid w:val="004D0858"/>
    <w:rsid w:val="00512644"/>
    <w:rsid w:val="005255C8"/>
    <w:rsid w:val="005D2D59"/>
    <w:rsid w:val="005F3021"/>
    <w:rsid w:val="005F38D7"/>
    <w:rsid w:val="00635476"/>
    <w:rsid w:val="006C4B2B"/>
    <w:rsid w:val="006D792B"/>
    <w:rsid w:val="0071109B"/>
    <w:rsid w:val="007A0F12"/>
    <w:rsid w:val="007A6102"/>
    <w:rsid w:val="007D48A5"/>
    <w:rsid w:val="0085567C"/>
    <w:rsid w:val="00871679"/>
    <w:rsid w:val="00AC3852"/>
    <w:rsid w:val="00B02C35"/>
    <w:rsid w:val="00C207E9"/>
    <w:rsid w:val="00C30AFC"/>
    <w:rsid w:val="00C52EDD"/>
    <w:rsid w:val="00C903C6"/>
    <w:rsid w:val="00DF11BD"/>
    <w:rsid w:val="00DF472D"/>
    <w:rsid w:val="00E3671F"/>
    <w:rsid w:val="00E441AF"/>
    <w:rsid w:val="00FA17A9"/>
    <w:rsid w:val="00FB4530"/>
    <w:rsid w:val="01D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NormalCharacter"/>
    <w:qFormat/>
    <w:uiPriority w:val="0"/>
  </w:style>
  <w:style w:type="paragraph" w:customStyle="1" w:styleId="10">
    <w:name w:val="正文1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530</Words>
  <Characters>3022</Characters>
  <Lines>25</Lines>
  <Paragraphs>7</Paragraphs>
  <TotalTime>75</TotalTime>
  <ScaleCrop>false</ScaleCrop>
  <LinksUpToDate>false</LinksUpToDate>
  <CharactersWithSpaces>3545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2022-04-12T05:02:00Z</dcterms:created>
  <dc:creator>孙 启帆</dc:creator>
  <cp:lastModifiedBy>Administrator</cp:lastModifiedBy>
  <dcterms:modified xsi:type="dcterms:W3CDTF">2022-05-23T07:34:26Z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