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000000"/>
          <w:sz w:val="21"/>
          <w:szCs w:val="21"/>
          <w:lang w:bidi="ar"/>
        </w:rPr>
      </w:pPr>
      <w:r>
        <w:rPr>
          <w:rFonts w:hint="eastAsia"/>
          <w:lang w:val="en-US" w:eastAsia="zh-CN"/>
        </w:rPr>
        <w:t>1、</w:t>
      </w:r>
      <w:r>
        <w:rPr>
          <w:rFonts w:hint="eastAsia" w:ascii="宋体" w:hAnsi="宋体" w:cs="宋体"/>
          <w:color w:val="000000"/>
          <w:sz w:val="21"/>
          <w:szCs w:val="21"/>
          <w:lang w:bidi="ar"/>
        </w:rPr>
        <w:t>2022-JKMTDY-W1130</w:t>
      </w:r>
    </w:p>
    <w:tbl>
      <w:tblPr>
        <w:tblStyle w:val="6"/>
        <w:tblW w:w="9379"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90"/>
        <w:gridCol w:w="1479"/>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66"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rPr>
              <w:t>项目名称</w:t>
            </w:r>
          </w:p>
        </w:tc>
        <w:tc>
          <w:tcPr>
            <w:tcW w:w="7413" w:type="dxa"/>
            <w:gridSpan w:val="2"/>
            <w:tcBorders>
              <w:top w:val="single" w:color="auto" w:sz="4" w:space="0"/>
            </w:tcBorders>
            <w:vAlign w:val="center"/>
          </w:tcPr>
          <w:p>
            <w:pPr>
              <w:widowControl/>
              <w:snapToGrid w:val="0"/>
              <w:spacing w:line="400" w:lineRule="exact"/>
              <w:ind w:right="-1459" w:rightChars="-695" w:firstLine="2100" w:firstLineChars="1000"/>
              <w:rPr>
                <w:rFonts w:ascii="宋体" w:hAnsi="宋体" w:cs="宋体"/>
              </w:rPr>
            </w:pPr>
            <w:r>
              <w:rPr>
                <w:rFonts w:hint="eastAsia" w:ascii="宋体" w:hAnsi="宋体" w:cs="宋体"/>
                <w:lang w:val="zh-CN"/>
              </w:rPr>
              <w:t>电生理信息管理系统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966"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rPr>
              <w:t>项目编号</w:t>
            </w:r>
          </w:p>
        </w:tc>
        <w:tc>
          <w:tcPr>
            <w:tcW w:w="7413" w:type="dxa"/>
            <w:gridSpan w:val="2"/>
            <w:tcBorders>
              <w:top w:val="single" w:color="auto" w:sz="4" w:space="0"/>
            </w:tcBorders>
            <w:vAlign w:val="center"/>
          </w:tcPr>
          <w:p>
            <w:pPr>
              <w:widowControl/>
              <w:snapToGrid w:val="0"/>
              <w:spacing w:line="400" w:lineRule="exact"/>
              <w:ind w:right="-1459" w:rightChars="-695" w:firstLine="2100" w:firstLineChars="1000"/>
              <w:rPr>
                <w:rFonts w:ascii="宋体" w:hAnsi="宋体" w:cs="宋体"/>
              </w:rPr>
            </w:pPr>
            <w:r>
              <w:rPr>
                <w:rFonts w:hint="eastAsia" w:ascii="宋体" w:hAnsi="宋体" w:cs="宋体"/>
                <w:color w:val="000000"/>
                <w:lang w:bidi="ar"/>
              </w:rPr>
              <w:t>2022-JKMTDY-W1130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966"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color w:val="000000"/>
              </w:rPr>
              <w:t>是否进口</w:t>
            </w:r>
          </w:p>
        </w:tc>
        <w:tc>
          <w:tcPr>
            <w:tcW w:w="7413" w:type="dxa"/>
            <w:gridSpan w:val="2"/>
            <w:tcBorders>
              <w:top w:val="single" w:color="auto" w:sz="4" w:space="0"/>
            </w:tcBorders>
            <w:vAlign w:val="center"/>
          </w:tcPr>
          <w:p>
            <w:pPr>
              <w:widowControl/>
              <w:snapToGrid w:val="0"/>
              <w:spacing w:line="400" w:lineRule="exact"/>
              <w:ind w:right="-1459" w:rightChars="-695" w:firstLine="2100" w:firstLineChars="1000"/>
              <w:rPr>
                <w:rFonts w:ascii="宋体" w:hAnsi="宋体" w:cs="宋体"/>
              </w:rPr>
            </w:pPr>
            <w:r>
              <w:rPr>
                <w:rFonts w:hint="eastAsia" w:ascii="宋体" w:hAnsi="宋体" w:cs="宋体"/>
                <w:color w:val="000000"/>
              </w:rPr>
              <w:t>■国产□进口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66"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rPr>
              <w:t>预算总价（元）</w:t>
            </w:r>
          </w:p>
        </w:tc>
        <w:tc>
          <w:tcPr>
            <w:tcW w:w="7413" w:type="dxa"/>
            <w:gridSpan w:val="2"/>
            <w:tcBorders>
              <w:top w:val="single" w:color="auto" w:sz="4" w:space="0"/>
            </w:tcBorders>
            <w:vAlign w:val="center"/>
          </w:tcPr>
          <w:p>
            <w:pPr>
              <w:widowControl/>
              <w:snapToGrid w:val="0"/>
              <w:spacing w:line="400" w:lineRule="exact"/>
              <w:ind w:right="-1459" w:rightChars="-695" w:firstLine="2100" w:firstLineChars="1000"/>
              <w:rPr>
                <w:rFonts w:ascii="宋体" w:hAnsi="宋体" w:cs="宋体"/>
              </w:rPr>
            </w:pPr>
            <w:r>
              <w:rPr>
                <w:rFonts w:hint="eastAsia" w:ascii="宋体" w:hAnsi="宋体" w:cs="宋体"/>
              </w:rPr>
              <w:t>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76"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序号</w:t>
            </w:r>
          </w:p>
        </w:tc>
        <w:tc>
          <w:tcPr>
            <w:tcW w:w="1190"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指标名称</w:t>
            </w:r>
          </w:p>
        </w:tc>
        <w:tc>
          <w:tcPr>
            <w:tcW w:w="1479"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数量</w:t>
            </w:r>
          </w:p>
        </w:tc>
        <w:tc>
          <w:tcPr>
            <w:tcW w:w="5934"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76" w:type="dxa"/>
            <w:vAlign w:val="center"/>
          </w:tcPr>
          <w:p>
            <w:pPr>
              <w:spacing w:line="400" w:lineRule="exact"/>
              <w:jc w:val="center"/>
              <w:rPr>
                <w:rFonts w:ascii="宋体" w:hAnsi="宋体" w:cs="宋体"/>
              </w:rPr>
            </w:pPr>
            <w:r>
              <w:rPr>
                <w:rFonts w:hint="eastAsia" w:ascii="宋体" w:hAnsi="宋体" w:cs="宋体"/>
              </w:rPr>
              <w:t>1</w:t>
            </w:r>
          </w:p>
        </w:tc>
        <w:tc>
          <w:tcPr>
            <w:tcW w:w="1190" w:type="dxa"/>
            <w:vAlign w:val="center"/>
          </w:tcPr>
          <w:p>
            <w:pPr>
              <w:spacing w:line="400" w:lineRule="exact"/>
              <w:jc w:val="center"/>
              <w:rPr>
                <w:rFonts w:ascii="宋体" w:hAnsi="宋体" w:cs="宋体"/>
              </w:rPr>
            </w:pPr>
            <w:r>
              <w:rPr>
                <w:rFonts w:hint="eastAsia" w:ascii="宋体" w:hAnsi="宋体" w:cs="宋体"/>
              </w:rPr>
              <w:t>硬件</w:t>
            </w:r>
          </w:p>
        </w:tc>
        <w:tc>
          <w:tcPr>
            <w:tcW w:w="1479" w:type="dxa"/>
            <w:vAlign w:val="center"/>
          </w:tcPr>
          <w:p>
            <w:pPr>
              <w:pStyle w:val="9"/>
              <w:spacing w:line="400" w:lineRule="exact"/>
              <w:ind w:firstLine="0" w:firstLineChars="0"/>
              <w:jc w:val="center"/>
              <w:rPr>
                <w:rFonts w:ascii="宋体" w:hAnsi="宋体" w:cs="宋体"/>
                <w:sz w:val="24"/>
                <w:szCs w:val="24"/>
              </w:rPr>
            </w:pPr>
            <w:r>
              <w:rPr>
                <w:rFonts w:hint="eastAsia" w:ascii="宋体" w:hAnsi="宋体" w:cs="宋体"/>
                <w:sz w:val="24"/>
                <w:szCs w:val="24"/>
              </w:rPr>
              <w:t>一台</w:t>
            </w:r>
          </w:p>
          <w:p>
            <w:pPr>
              <w:pStyle w:val="9"/>
              <w:spacing w:line="400" w:lineRule="exact"/>
              <w:ind w:firstLine="0" w:firstLineChars="0"/>
              <w:jc w:val="center"/>
              <w:rPr>
                <w:rFonts w:ascii="宋体" w:hAnsi="宋体" w:cs="宋体"/>
                <w:sz w:val="24"/>
                <w:szCs w:val="24"/>
              </w:rPr>
            </w:pPr>
          </w:p>
        </w:tc>
        <w:tc>
          <w:tcPr>
            <w:tcW w:w="5934" w:type="dxa"/>
            <w:vAlign w:val="center"/>
          </w:tcPr>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 xml:space="preserve">服务器： </w:t>
            </w:r>
          </w:p>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1处理器:2颗至强银牌4210R</w:t>
            </w:r>
          </w:p>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★2、内存：配置4个32GB TruDDR4 2933MHz  RDIMM，最大支持24条扩展插槽。</w:t>
            </w:r>
          </w:p>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★3、存储:配置 4T * 4 的 SAS硬盘</w:t>
            </w:r>
          </w:p>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4、操作系统：Windows Server 2012,64位版本。</w:t>
            </w:r>
          </w:p>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5、电源：2个750W高效热插拔冗余电源。</w:t>
            </w:r>
          </w:p>
          <w:p>
            <w:pPr>
              <w:pStyle w:val="9"/>
              <w:spacing w:line="400" w:lineRule="exact"/>
              <w:ind w:firstLine="0" w:firstLineChars="0"/>
              <w:jc w:val="left"/>
              <w:rPr>
                <w:rFonts w:asciiTheme="minorEastAsia" w:hAnsiTheme="minorEastAsia" w:eastAsiaTheme="minorEastAsia"/>
                <w:sz w:val="24"/>
                <w:szCs w:val="24"/>
              </w:rPr>
            </w:pPr>
            <w:r>
              <w:rPr>
                <w:rFonts w:hint="eastAsia" w:ascii="宋体" w:hAnsi="宋体" w:cs="宋体"/>
                <w:sz w:val="24"/>
                <w:szCs w:val="24"/>
              </w:rPr>
              <w:t>6、其他：带网卡，导轨。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776" w:type="dxa"/>
            <w:vMerge w:val="restart"/>
            <w:vAlign w:val="center"/>
          </w:tcPr>
          <w:p>
            <w:pPr>
              <w:spacing w:line="400" w:lineRule="exact"/>
              <w:jc w:val="center"/>
              <w:rPr>
                <w:rFonts w:ascii="宋体" w:hAnsi="宋体" w:cs="宋体"/>
              </w:rPr>
            </w:pPr>
            <w:r>
              <w:rPr>
                <w:rFonts w:hint="eastAsia" w:ascii="宋体" w:hAnsi="宋体" w:cs="宋体"/>
              </w:rPr>
              <w:t>2</w:t>
            </w:r>
          </w:p>
        </w:tc>
        <w:tc>
          <w:tcPr>
            <w:tcW w:w="1190" w:type="dxa"/>
            <w:vMerge w:val="restart"/>
            <w:vAlign w:val="center"/>
          </w:tcPr>
          <w:p>
            <w:pPr>
              <w:spacing w:line="400" w:lineRule="exact"/>
              <w:rPr>
                <w:rFonts w:ascii="宋体" w:hAnsi="宋体" w:cs="宋体"/>
              </w:rPr>
            </w:pPr>
            <w:r>
              <w:rPr>
                <w:rFonts w:hint="eastAsia" w:ascii="宋体" w:hAnsi="宋体" w:cs="宋体"/>
              </w:rPr>
              <w:t>软件模块开发</w:t>
            </w:r>
          </w:p>
        </w:tc>
        <w:tc>
          <w:tcPr>
            <w:tcW w:w="7413" w:type="dxa"/>
            <w:gridSpan w:val="2"/>
            <w:vAlign w:val="center"/>
          </w:tcPr>
          <w:p>
            <w:pPr>
              <w:spacing w:line="400" w:lineRule="exact"/>
              <w:outlineLvl w:val="3"/>
              <w:rPr>
                <w:rFonts w:ascii="宋体" w:hAnsi="宋体" w:cs="宋体"/>
                <w:szCs w:val="21"/>
              </w:rPr>
            </w:pPr>
            <w:r>
              <w:rPr>
                <w:rFonts w:hint="eastAsia" w:ascii="宋体" w:hAnsi="宋体" w:cs="宋体"/>
                <w:szCs w:val="21"/>
              </w:rPr>
              <w:t>一、数据库服务、存储、DICOM、WEB浏览服务模块</w:t>
            </w:r>
          </w:p>
          <w:p>
            <w:pPr>
              <w:numPr>
                <w:ilvl w:val="0"/>
                <w:numId w:val="1"/>
              </w:numPr>
              <w:spacing w:line="400" w:lineRule="exact"/>
            </w:pPr>
            <w:r>
              <w:rPr>
                <w:rFonts w:hint="eastAsia"/>
              </w:rPr>
              <w:t>支持SQLserver、Oracle等大型数据库，有安全、可靠的数据存储、备份方案，有近线、离线数据调阅方案，实现数据的网络存储及应急状态的数据本地存储。具有开放性，支持异种数据库的访问，包括实现对文件数据和桌面数据库的访问、实现对大型异种数据库的访问、实现和高级语言互连的能力等，具有支持并行操作所需的技术，包括多服务器协同技术、事务处理的完整性控制技术。</w:t>
            </w:r>
          </w:p>
          <w:p>
            <w:pPr>
              <w:numPr>
                <w:ilvl w:val="0"/>
                <w:numId w:val="1"/>
              </w:numPr>
              <w:spacing w:line="400" w:lineRule="exact"/>
            </w:pPr>
            <w:r>
              <w:rPr>
                <w:rFonts w:hint="eastAsia"/>
              </w:rPr>
              <w:t>服务器软件支持集群设计；支持数据库多种方式备份；支持数据库管理功能，支持数据记录查询与检索；按需更新数据库管理系统中的数据；接受医生申请，按权限提供所储存波形数据及相关信息。</w:t>
            </w:r>
          </w:p>
          <w:p>
            <w:pPr>
              <w:numPr>
                <w:ilvl w:val="0"/>
                <w:numId w:val="1"/>
              </w:numPr>
              <w:spacing w:line="400" w:lineRule="exact"/>
            </w:pPr>
            <w:r>
              <w:rPr>
                <w:rFonts w:hint="eastAsia"/>
              </w:rPr>
              <w:t>＃医院电生理数据可以进行数字化集中存储及管理，可对电生理数据进行查找、统计、测量。提供含有集中存储及管理、查找、统计、测量等词语的医疗器械注册证复印件并圈出对应内容证明。</w:t>
            </w:r>
          </w:p>
          <w:p>
            <w:pPr>
              <w:numPr>
                <w:ilvl w:val="0"/>
                <w:numId w:val="1"/>
              </w:numPr>
              <w:spacing w:line="400" w:lineRule="exact"/>
            </w:pPr>
            <w:r>
              <w:rPr>
                <w:rFonts w:hint="eastAsia"/>
              </w:rPr>
              <w:t>＃接收具有DICOM或XML传输协议的心电图机、具有数字输出的动态心电图、运动平板心电图电生理检查设备的数据，对数据进行处理和存储，并可与医院信息管理系统进行整合，通过网络发布报告。提供含有DICOM或XML传输协议，动态心电图、运动平板心电图网络发布报告等词语的医疗器械注册证或其附件的复印件并圈出对应内容证明。</w:t>
            </w:r>
          </w:p>
          <w:p>
            <w:pPr>
              <w:numPr>
                <w:ilvl w:val="0"/>
                <w:numId w:val="1"/>
              </w:numPr>
              <w:spacing w:line="400" w:lineRule="exact"/>
            </w:pPr>
            <w:r>
              <w:rPr>
                <w:rFonts w:hint="eastAsia"/>
              </w:rPr>
              <w:t>★DICOM WORKLIST功能：支持同符合HL7标准的医院信息系统连接；支持同非标准的医院信息系统连接。提供含有DICOM WORKLIST功能词语，并圈出对应功能描述内容的医疗器械注册证或其附件的复印件证明。</w:t>
            </w:r>
          </w:p>
          <w:p>
            <w:pPr>
              <w:numPr>
                <w:ilvl w:val="0"/>
                <w:numId w:val="1"/>
              </w:numPr>
              <w:spacing w:line="400" w:lineRule="exact"/>
            </w:pPr>
            <w:r>
              <w:rPr>
                <w:rFonts w:hint="eastAsia"/>
              </w:rPr>
              <w:t>支持嵌入门诊医生站、住院电子病历系统；</w:t>
            </w:r>
          </w:p>
          <w:p>
            <w:pPr>
              <w:numPr>
                <w:ilvl w:val="0"/>
                <w:numId w:val="1"/>
              </w:numPr>
              <w:spacing w:line="400" w:lineRule="exact"/>
            </w:pPr>
            <w:r>
              <w:rPr>
                <w:rFonts w:hint="eastAsia"/>
              </w:rPr>
              <w:t>＃当电生理专业医生确认检查报告后，在医院的医生工作站上就可以浏览到具有查看权限的报告结论</w:t>
            </w:r>
          </w:p>
          <w:p>
            <w:pPr>
              <w:numPr>
                <w:ilvl w:val="0"/>
                <w:numId w:val="1"/>
              </w:numPr>
              <w:spacing w:line="400" w:lineRule="exact"/>
            </w:pPr>
            <w:r>
              <w:rPr>
                <w:rFonts w:hint="eastAsia"/>
              </w:rPr>
              <w:t>支持查看动态心电、动态血压等其他电生理检查报告；</w:t>
            </w:r>
          </w:p>
          <w:p>
            <w:pPr>
              <w:numPr>
                <w:ilvl w:val="0"/>
                <w:numId w:val="1"/>
              </w:numPr>
              <w:spacing w:line="400" w:lineRule="exact"/>
              <w:rPr>
                <w:rFonts w:asciiTheme="minorEastAsia" w:hAnsiTheme="minorEastAsia"/>
              </w:rPr>
            </w:pPr>
            <w:r>
              <w:rPr>
                <w:rFonts w:hint="eastAsia"/>
              </w:rPr>
              <w:t>＃提供临床WEB发布管理系统计算机软件著作权登记证书的复印件证明。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3" w:hRule="atLeast"/>
        </w:trPr>
        <w:tc>
          <w:tcPr>
            <w:tcW w:w="776" w:type="dxa"/>
            <w:vMerge w:val="continue"/>
            <w:vAlign w:val="center"/>
          </w:tcPr>
          <w:p>
            <w:pPr>
              <w:spacing w:line="400" w:lineRule="exact"/>
              <w:jc w:val="center"/>
              <w:rPr>
                <w:rFonts w:asciiTheme="minorEastAsia" w:hAnsiTheme="minorEastAsia" w:eastAsiaTheme="minorEastAsia"/>
              </w:rPr>
            </w:pPr>
          </w:p>
        </w:tc>
        <w:tc>
          <w:tcPr>
            <w:tcW w:w="1190" w:type="dxa"/>
            <w:vMerge w:val="continue"/>
            <w:vAlign w:val="center"/>
          </w:tcPr>
          <w:p>
            <w:pPr>
              <w:spacing w:line="400" w:lineRule="exact"/>
              <w:rPr>
                <w:rFonts w:cs="Segoe UI Symbol" w:asciiTheme="minorEastAsia" w:hAnsiTheme="minorEastAsia" w:eastAsiaTheme="minorEastAsia"/>
              </w:rPr>
            </w:pPr>
          </w:p>
        </w:tc>
        <w:tc>
          <w:tcPr>
            <w:tcW w:w="7413" w:type="dxa"/>
            <w:gridSpan w:val="2"/>
            <w:vAlign w:val="center"/>
          </w:tcPr>
          <w:p>
            <w:pPr>
              <w:spacing w:line="400" w:lineRule="exact"/>
              <w:outlineLvl w:val="2"/>
            </w:pPr>
            <w:r>
              <w:rPr>
                <w:rFonts w:hint="eastAsia"/>
              </w:rPr>
              <w:t>二、接口模块：系统接口模块系统对接方式支持：存储过程、中间视图、WebService、HISDLL、以及支持HL7协议的点对点推送信息等几种方式。</w:t>
            </w:r>
          </w:p>
          <w:p>
            <w:pPr>
              <w:numPr>
                <w:ilvl w:val="0"/>
                <w:numId w:val="2"/>
              </w:numPr>
              <w:spacing w:line="400" w:lineRule="exact"/>
            </w:pPr>
            <w:r>
              <w:rPr>
                <w:rFonts w:hint="eastAsia"/>
              </w:rPr>
              <w:t>HIS接口：支持与HIS系统集成，实现从HIS当中获取患者资料；支持电子申请预约信息获取。</w:t>
            </w:r>
          </w:p>
          <w:p>
            <w:pPr>
              <w:numPr>
                <w:ilvl w:val="0"/>
                <w:numId w:val="2"/>
              </w:numPr>
              <w:spacing w:line="400" w:lineRule="exact"/>
            </w:pPr>
            <w:r>
              <w:rPr>
                <w:rFonts w:hint="eastAsia"/>
              </w:rPr>
              <w:t>PACS接口：系统支持将心电图、动态心电、动态血压和其他电生理检查结果传输至PACS系统，完成数据对接。</w:t>
            </w:r>
          </w:p>
          <w:p>
            <w:pPr>
              <w:numPr>
                <w:ilvl w:val="0"/>
                <w:numId w:val="2"/>
              </w:numPr>
              <w:spacing w:line="400" w:lineRule="exact"/>
            </w:pPr>
            <w:r>
              <w:rPr>
                <w:rFonts w:hint="eastAsia"/>
              </w:rPr>
              <w:t>CA接口：电生理信息管理系统与CA无缝集成，确保电生理报告的电子签名有效性。</w:t>
            </w:r>
          </w:p>
          <w:p>
            <w:pPr>
              <w:numPr>
                <w:ilvl w:val="0"/>
                <w:numId w:val="2"/>
              </w:numPr>
              <w:spacing w:line="400" w:lineRule="exact"/>
            </w:pPr>
            <w:r>
              <w:rPr>
                <w:rFonts w:hint="eastAsia"/>
              </w:rPr>
              <w:t>体检系统接口：电子病历接口：系统支持将心电图、动态心电、动态血压和其他电生理检查结果传输至体检系统，完成数据对接。</w:t>
            </w:r>
          </w:p>
          <w:p>
            <w:pPr>
              <w:numPr>
                <w:ilvl w:val="0"/>
                <w:numId w:val="2"/>
              </w:numPr>
              <w:spacing w:line="400" w:lineRule="exact"/>
            </w:pPr>
            <w:r>
              <w:t>★</w:t>
            </w:r>
            <w:r>
              <w:rPr>
                <w:rFonts w:hint="eastAsia"/>
              </w:rPr>
              <w:t>与院内心电网络系统接口模块：系统支持院内所有动态心电和动态血压数据上传医院心电诊断中心报告系统以及电生理检查结果报告传输至全院心电信息系统上，完成数据对接，且承担本院心电网络系统厂商对接全部费用。</w:t>
            </w:r>
          </w:p>
          <w:p>
            <w:pPr>
              <w:pStyle w:val="5"/>
              <w:spacing w:line="400" w:lineRule="exact"/>
              <w:ind w:firstLine="0" w:firstLineChars="0"/>
            </w:pPr>
            <w:r>
              <w:rPr>
                <w:rFonts w:hint="eastAsia"/>
              </w:rPr>
              <w:t>三、</w:t>
            </w:r>
            <w:r>
              <w:rPr>
                <w:rFonts w:hint="eastAsia" w:ascii="宋体" w:hAnsi="宋体" w:cs="宋体"/>
                <w:b/>
                <w:bCs/>
                <w:szCs w:val="21"/>
              </w:rPr>
              <w:t>设备连接应用</w:t>
            </w:r>
          </w:p>
          <w:p>
            <w:pPr>
              <w:numPr>
                <w:ilvl w:val="0"/>
                <w:numId w:val="3"/>
              </w:numPr>
              <w:spacing w:line="400" w:lineRule="exact"/>
              <w:jc w:val="left"/>
              <w:rPr>
                <w:rFonts w:ascii="宋体" w:hAnsi="宋体" w:cs="宋体"/>
                <w:szCs w:val="21"/>
              </w:rPr>
            </w:pPr>
            <w:r>
              <w:t>★</w:t>
            </w:r>
            <w:r>
              <w:rPr>
                <w:rFonts w:hint="eastAsia" w:ascii="宋体" w:hAnsi="宋体" w:cs="宋体"/>
                <w:szCs w:val="21"/>
              </w:rPr>
              <w:t>电生理设备连接模块：</w:t>
            </w:r>
            <w:r>
              <w:rPr>
                <w:rFonts w:ascii="宋体" w:hAnsi="宋体" w:cs="宋体"/>
                <w:szCs w:val="21"/>
              </w:rPr>
              <w:t>系统支持其他电生理设备接入，包括肌电图、脑电图、TCD、听力检查设备等全院所有的支持</w:t>
            </w:r>
            <w:r>
              <w:rPr>
                <w:rFonts w:hint="eastAsia" w:ascii="宋体" w:hAnsi="宋体" w:cs="宋体"/>
                <w:szCs w:val="21"/>
              </w:rPr>
              <w:t>PDF报告类检查</w:t>
            </w:r>
            <w:r>
              <w:rPr>
                <w:rFonts w:ascii="宋体" w:hAnsi="宋体" w:cs="宋体"/>
                <w:szCs w:val="21"/>
              </w:rPr>
              <w:t>。</w:t>
            </w:r>
          </w:p>
          <w:p>
            <w:pPr>
              <w:numPr>
                <w:ilvl w:val="0"/>
                <w:numId w:val="3"/>
              </w:numPr>
              <w:spacing w:line="400" w:lineRule="exact"/>
              <w:jc w:val="left"/>
              <w:rPr>
                <w:rFonts w:ascii="宋体" w:hAnsi="宋体" w:cs="宋体"/>
                <w:szCs w:val="21"/>
              </w:rPr>
            </w:pPr>
            <w:r>
              <w:rPr>
                <w:rFonts w:hint="eastAsia" w:ascii="宋体" w:hAnsi="宋体" w:cs="宋体"/>
                <w:szCs w:val="21"/>
              </w:rPr>
              <w:t>#保障电生理设备的有效对接，</w:t>
            </w:r>
            <w:r>
              <w:rPr>
                <w:rFonts w:ascii="宋体" w:hAnsi="宋体" w:cs="宋体"/>
                <w:szCs w:val="21"/>
              </w:rPr>
              <w:t>要求提供电生理网络系统计算机软件著作权登记证书</w:t>
            </w:r>
            <w:r>
              <w:rPr>
                <w:rFonts w:hint="eastAsia" w:ascii="宋体" w:hAnsi="宋体" w:cs="宋体"/>
                <w:szCs w:val="21"/>
              </w:rPr>
              <w:t>复印件</w:t>
            </w:r>
            <w:r>
              <w:rPr>
                <w:rFonts w:ascii="宋体" w:hAnsi="宋体" w:cs="宋体"/>
                <w:szCs w:val="21"/>
              </w:rPr>
              <w:t>证明</w:t>
            </w:r>
            <w:r>
              <w:rPr>
                <w:rFonts w:hint="eastAsia" w:ascii="宋体" w:hAnsi="宋体" w:cs="宋体"/>
                <w:szCs w:val="21"/>
              </w:rPr>
              <w:t>。</w:t>
            </w:r>
          </w:p>
          <w:p>
            <w:pPr>
              <w:numPr>
                <w:ilvl w:val="0"/>
                <w:numId w:val="3"/>
              </w:numPr>
              <w:spacing w:line="400" w:lineRule="exact"/>
              <w:jc w:val="left"/>
              <w:rPr>
                <w:rFonts w:ascii="宋体" w:hAnsi="宋体" w:cs="宋体"/>
                <w:szCs w:val="21"/>
              </w:rPr>
            </w:pPr>
            <w:r>
              <w:rPr>
                <w:rFonts w:hint="eastAsia" w:ascii="宋体" w:hAnsi="宋体" w:cs="宋体"/>
                <w:szCs w:val="21"/>
              </w:rPr>
              <w:t>＃</w:t>
            </w:r>
            <w:r>
              <w:rPr>
                <w:rFonts w:ascii="宋体" w:hAnsi="宋体" w:cs="宋体"/>
                <w:szCs w:val="21"/>
              </w:rPr>
              <w:t>电生理图文报告上传</w:t>
            </w:r>
            <w:r>
              <w:rPr>
                <w:rFonts w:hint="eastAsia" w:ascii="宋体" w:hAnsi="宋体" w:cs="宋体"/>
                <w:szCs w:val="21"/>
              </w:rPr>
              <w:t>：支持电生理设备图文报告上传功能，可获取电生理设备的检查报告，通过与HIS系统对接匹配患者信息，完成图文报告上传和存储，并发布至临床进行共享。</w:t>
            </w:r>
          </w:p>
          <w:p>
            <w:pPr>
              <w:numPr>
                <w:ilvl w:val="0"/>
                <w:numId w:val="3"/>
              </w:numPr>
              <w:spacing w:line="400" w:lineRule="exact"/>
              <w:jc w:val="left"/>
              <w:rPr>
                <w:rFonts w:ascii="宋体" w:hAnsi="宋体" w:cs="宋体"/>
                <w:szCs w:val="21"/>
              </w:rPr>
            </w:pPr>
            <w:r>
              <w:rPr>
                <w:rFonts w:ascii="宋体" w:hAnsi="宋体" w:cs="宋体"/>
                <w:szCs w:val="21"/>
              </w:rPr>
              <w:t>★动态心电连接</w:t>
            </w:r>
            <w:r>
              <w:rPr>
                <w:rFonts w:hint="eastAsia" w:ascii="宋体" w:hAnsi="宋体" w:cs="宋体"/>
                <w:szCs w:val="21"/>
              </w:rPr>
              <w:t>:系统支持兼容不同品牌、型号的动态心电记录器数据对接且可以连入到院内心电网络系统里面</w:t>
            </w:r>
          </w:p>
          <w:p>
            <w:pPr>
              <w:numPr>
                <w:ilvl w:val="0"/>
                <w:numId w:val="3"/>
              </w:numPr>
              <w:spacing w:line="400" w:lineRule="exact"/>
              <w:jc w:val="left"/>
              <w:rPr>
                <w:rFonts w:ascii="宋体" w:hAnsi="宋体" w:cs="宋体"/>
                <w:szCs w:val="21"/>
              </w:rPr>
            </w:pPr>
            <w:r>
              <w:rPr>
                <w:rFonts w:ascii="宋体" w:hAnsi="宋体" w:cs="宋体"/>
                <w:szCs w:val="21"/>
              </w:rPr>
              <w:t>动态心电连接</w:t>
            </w:r>
            <w:r>
              <w:rPr>
                <w:rFonts w:hint="eastAsia" w:ascii="宋体" w:hAnsi="宋体" w:cs="宋体"/>
                <w:szCs w:val="21"/>
              </w:rPr>
              <w:t>:对接方式要求不改变原有记录器使用操作，在记录结束后可直接读取记录器数据到现有动态心电分析客户端中，使用统一的软件进行分析、条图留存和报告编辑，以保证软件的易用性和报告格式、内容的统一性。</w:t>
            </w:r>
          </w:p>
          <w:p>
            <w:pPr>
              <w:numPr>
                <w:ilvl w:val="0"/>
                <w:numId w:val="3"/>
              </w:numPr>
              <w:spacing w:line="400" w:lineRule="exact"/>
              <w:jc w:val="left"/>
              <w:rPr>
                <w:rFonts w:ascii="宋体" w:hAnsi="宋体" w:cs="宋体"/>
                <w:szCs w:val="21"/>
              </w:rPr>
            </w:pPr>
            <w:r>
              <w:rPr>
                <w:rFonts w:ascii="宋体" w:hAnsi="宋体" w:cs="宋体"/>
                <w:szCs w:val="21"/>
              </w:rPr>
              <w:t>动态心电连接</w:t>
            </w:r>
            <w:r>
              <w:rPr>
                <w:rFonts w:hint="eastAsia" w:ascii="宋体" w:hAnsi="宋体" w:cs="宋体"/>
                <w:szCs w:val="21"/>
              </w:rPr>
              <w:t>;支持与HIS系统电子申请的对接，从而实现检查数据与病人信息的统一，实现对动态心电检查报告的获取、参数提取，根据实际需要，重新定义报告格式；</w:t>
            </w:r>
          </w:p>
          <w:p>
            <w:pPr>
              <w:numPr>
                <w:ilvl w:val="0"/>
                <w:numId w:val="3"/>
              </w:numPr>
              <w:spacing w:line="400" w:lineRule="exact"/>
              <w:jc w:val="left"/>
              <w:rPr>
                <w:rFonts w:asciiTheme="minorEastAsia" w:hAnsiTheme="minorEastAsia" w:eastAsiaTheme="minorEastAsia"/>
              </w:rPr>
            </w:pPr>
            <w:r>
              <w:rPr>
                <w:rFonts w:ascii="宋体" w:hAnsi="宋体" w:cs="宋体"/>
                <w:szCs w:val="21"/>
              </w:rPr>
              <w:t>动态心电连接</w:t>
            </w:r>
            <w:r>
              <w:rPr>
                <w:rFonts w:hint="eastAsia" w:ascii="宋体" w:hAnsi="宋体" w:cs="宋体"/>
                <w:szCs w:val="21"/>
              </w:rPr>
              <w:t>:临床报告结果发布，实现临床科室快速调阅查看动态心电报告与波形，无需安装软件，院内任意一台联入网络的计算机即可浏览。</w:t>
            </w:r>
          </w:p>
          <w:p>
            <w:pPr>
              <w:numPr>
                <w:ilvl w:val="0"/>
                <w:numId w:val="3"/>
              </w:numPr>
              <w:spacing w:line="400" w:lineRule="exact"/>
              <w:jc w:val="left"/>
              <w:rPr>
                <w:rFonts w:ascii="宋体" w:hAnsi="宋体" w:cs="宋体"/>
                <w:szCs w:val="21"/>
              </w:rPr>
            </w:pPr>
            <w:r>
              <w:rPr>
                <w:rFonts w:hint="eastAsia" w:asciiTheme="minorEastAsia" w:hAnsiTheme="minorEastAsia" w:eastAsiaTheme="minorEastAsia"/>
                <w:b/>
                <w:bCs/>
              </w:rPr>
              <w:t>＃</w:t>
            </w:r>
            <w:r>
              <w:rPr>
                <w:rFonts w:ascii="宋体" w:hAnsi="宋体" w:cs="宋体"/>
                <w:szCs w:val="21"/>
              </w:rPr>
              <w:t>动态血压连接</w:t>
            </w:r>
            <w:r>
              <w:rPr>
                <w:rFonts w:hint="eastAsia" w:ascii="宋体" w:hAnsi="宋体" w:cs="宋体"/>
                <w:szCs w:val="21"/>
              </w:rPr>
              <w:t>:系统支持兼容不同品牌、型号的动态血压记录器数据对接；</w:t>
            </w:r>
          </w:p>
          <w:p>
            <w:pPr>
              <w:numPr>
                <w:ilvl w:val="0"/>
                <w:numId w:val="3"/>
              </w:numPr>
              <w:spacing w:line="400" w:lineRule="exact"/>
              <w:jc w:val="left"/>
              <w:rPr>
                <w:rFonts w:ascii="宋体" w:hAnsi="宋体" w:cs="宋体"/>
                <w:szCs w:val="21"/>
              </w:rPr>
            </w:pPr>
            <w:r>
              <w:rPr>
                <w:rFonts w:ascii="宋体" w:hAnsi="宋体" w:cs="宋体"/>
                <w:szCs w:val="21"/>
              </w:rPr>
              <w:t>动态血压连接</w:t>
            </w:r>
            <w:r>
              <w:rPr>
                <w:rFonts w:hint="eastAsia" w:ascii="宋体" w:hAnsi="宋体" w:cs="宋体"/>
                <w:szCs w:val="21"/>
              </w:rPr>
              <w:t>:对接方式要求不改变原有记录器使用操作，在记录结束后可直接读取记录器数据到现有动态血压分析客户端中，使用统一的软件进行分析和报告编辑，以保证软件的易用性和报告格式、内容的统一性。</w:t>
            </w:r>
          </w:p>
          <w:p>
            <w:pPr>
              <w:numPr>
                <w:ilvl w:val="0"/>
                <w:numId w:val="3"/>
              </w:numPr>
              <w:spacing w:line="400" w:lineRule="exact"/>
              <w:jc w:val="left"/>
              <w:rPr>
                <w:rFonts w:ascii="宋体" w:hAnsi="宋体" w:cs="宋体"/>
                <w:szCs w:val="21"/>
              </w:rPr>
            </w:pPr>
            <w:r>
              <w:rPr>
                <w:rFonts w:ascii="宋体" w:hAnsi="宋体" w:cs="宋体"/>
                <w:szCs w:val="21"/>
              </w:rPr>
              <w:t>★动态血压连接</w:t>
            </w:r>
            <w:r>
              <w:rPr>
                <w:rFonts w:hint="eastAsia" w:ascii="宋体" w:hAnsi="宋体" w:cs="宋体"/>
                <w:szCs w:val="21"/>
              </w:rPr>
              <w:t>:系统支持以数据方式接入，将多种品牌的检查设备实现数据集中存储，检查报告集中分析且可以连入到院内心电网络系统里面</w:t>
            </w:r>
          </w:p>
          <w:p>
            <w:pPr>
              <w:numPr>
                <w:ilvl w:val="0"/>
                <w:numId w:val="3"/>
              </w:numPr>
              <w:spacing w:line="400" w:lineRule="exact"/>
              <w:jc w:val="left"/>
              <w:rPr>
                <w:rFonts w:ascii="宋体" w:hAnsi="宋体" w:cs="宋体"/>
                <w:szCs w:val="21"/>
              </w:rPr>
            </w:pPr>
            <w:r>
              <w:rPr>
                <w:rFonts w:ascii="宋体" w:hAnsi="宋体" w:cs="宋体"/>
                <w:szCs w:val="21"/>
              </w:rPr>
              <w:t>动态血压连接</w:t>
            </w:r>
            <w:r>
              <w:rPr>
                <w:rFonts w:hint="eastAsia" w:ascii="宋体" w:hAnsi="宋体" w:cs="宋体"/>
                <w:szCs w:val="21"/>
              </w:rPr>
              <w:t>;支持与HIS系统电子申请的对接，从而实现检查数据与病人信息的统一，实现对动态血压检查报告的获取、参数提取，根据实际需要，重新定义报告格式；</w:t>
            </w:r>
          </w:p>
          <w:p>
            <w:pPr>
              <w:numPr>
                <w:ilvl w:val="0"/>
                <w:numId w:val="3"/>
              </w:numPr>
              <w:spacing w:line="400" w:lineRule="exact"/>
              <w:jc w:val="left"/>
              <w:rPr>
                <w:rFonts w:ascii="宋体" w:hAnsi="宋体" w:cs="宋体"/>
                <w:szCs w:val="21"/>
              </w:rPr>
            </w:pPr>
            <w:r>
              <w:rPr>
                <w:rFonts w:ascii="宋体" w:hAnsi="宋体" w:cs="宋体"/>
                <w:szCs w:val="21"/>
              </w:rPr>
              <w:t>动态血压连接</w:t>
            </w:r>
            <w:r>
              <w:rPr>
                <w:rFonts w:hint="eastAsia" w:ascii="宋体" w:hAnsi="宋体" w:cs="宋体"/>
                <w:szCs w:val="21"/>
              </w:rPr>
              <w:t>:临床报告结果发布，实现临床科室快速调阅查看动态血压报告，院内任意一台联入网络的计算机即可浏览。</w:t>
            </w:r>
          </w:p>
          <w:p>
            <w:pPr>
              <w:numPr>
                <w:ilvl w:val="0"/>
                <w:numId w:val="3"/>
              </w:numPr>
              <w:spacing w:line="400" w:lineRule="exact"/>
              <w:jc w:val="left"/>
              <w:rPr>
                <w:rFonts w:ascii="宋体" w:hAnsi="宋体" w:cs="宋体"/>
                <w:szCs w:val="21"/>
              </w:rPr>
            </w:pPr>
            <w:r>
              <w:rPr>
                <w:rFonts w:ascii="宋体" w:hAnsi="宋体" w:cs="宋体"/>
                <w:szCs w:val="21"/>
              </w:rPr>
              <w:t>电生理报告客户端</w:t>
            </w:r>
            <w:r>
              <w:rPr>
                <w:rFonts w:hint="eastAsia" w:ascii="宋体" w:hAnsi="宋体" w:cs="宋体"/>
                <w:szCs w:val="21"/>
              </w:rPr>
              <w:t>:支持电生理检查原有典型数据、可使用专用报告工作站出报告，报告格式可自定义设置，实现电生理检查的信息化管理</w:t>
            </w:r>
          </w:p>
          <w:p>
            <w:pPr>
              <w:numPr>
                <w:ilvl w:val="0"/>
                <w:numId w:val="3"/>
              </w:numPr>
              <w:spacing w:line="400" w:lineRule="exact"/>
              <w:jc w:val="left"/>
              <w:rPr>
                <w:rFonts w:ascii="宋体" w:hAnsi="宋体" w:cs="宋体"/>
                <w:szCs w:val="21"/>
              </w:rPr>
            </w:pPr>
            <w:r>
              <w:rPr>
                <w:rFonts w:ascii="宋体" w:hAnsi="宋体" w:cs="宋体"/>
                <w:szCs w:val="21"/>
              </w:rPr>
              <w:t>电生理报告客户端</w:t>
            </w:r>
            <w:r>
              <w:rPr>
                <w:rFonts w:hint="eastAsia" w:ascii="宋体" w:hAnsi="宋体" w:cs="宋体"/>
                <w:szCs w:val="21"/>
              </w:rPr>
              <w:t>:支持PDF或其他格式图片报告的解析功能，根据需求自动获取有用的数据进行归档、自动生成电生理报告，并将该报告发布至临床进行共享。</w:t>
            </w:r>
          </w:p>
          <w:p>
            <w:pPr>
              <w:numPr>
                <w:ilvl w:val="0"/>
                <w:numId w:val="3"/>
              </w:numPr>
              <w:spacing w:line="400" w:lineRule="exact"/>
              <w:jc w:val="left"/>
              <w:rPr>
                <w:rFonts w:ascii="宋体" w:hAnsi="宋体" w:cs="宋体"/>
                <w:szCs w:val="21"/>
              </w:rPr>
            </w:pPr>
            <w:r>
              <w:rPr>
                <w:rFonts w:hint="eastAsia" w:ascii="宋体" w:hAnsi="宋体" w:cs="宋体"/>
                <w:szCs w:val="21"/>
              </w:rPr>
              <w:t>为需随访的患者建立随访计划，支持随访时间设置；</w:t>
            </w:r>
          </w:p>
          <w:p>
            <w:pPr>
              <w:numPr>
                <w:ilvl w:val="0"/>
                <w:numId w:val="3"/>
              </w:numPr>
              <w:spacing w:line="400" w:lineRule="exact"/>
              <w:jc w:val="left"/>
              <w:rPr>
                <w:rFonts w:ascii="宋体" w:hAnsi="宋体" w:cs="宋体"/>
                <w:szCs w:val="21"/>
              </w:rPr>
            </w:pPr>
            <w:r>
              <w:rPr>
                <w:rFonts w:hint="eastAsia" w:ascii="宋体" w:hAnsi="宋体" w:cs="宋体"/>
                <w:szCs w:val="21"/>
              </w:rPr>
              <w:t>具有随访提醒功能，在设置随访时间到达时，用户登录系统有弹窗提醒；</w:t>
            </w:r>
          </w:p>
          <w:p>
            <w:pPr>
              <w:numPr>
                <w:ilvl w:val="0"/>
                <w:numId w:val="3"/>
              </w:numPr>
              <w:spacing w:line="400" w:lineRule="exact"/>
              <w:jc w:val="left"/>
              <w:rPr>
                <w:rFonts w:ascii="宋体" w:hAnsi="宋体" w:cs="宋体"/>
                <w:szCs w:val="21"/>
              </w:rPr>
            </w:pPr>
            <w:r>
              <w:rPr>
                <w:rFonts w:hint="eastAsia" w:ascii="宋体" w:hAnsi="宋体" w:cs="宋体"/>
                <w:szCs w:val="21"/>
              </w:rPr>
              <w:t>随访内容模板可根据使用者需求进行自定义设计，可设置多种随访内容模板；</w:t>
            </w:r>
          </w:p>
          <w:p>
            <w:pPr>
              <w:numPr>
                <w:ilvl w:val="0"/>
                <w:numId w:val="3"/>
              </w:numPr>
              <w:spacing w:line="400" w:lineRule="exact"/>
              <w:jc w:val="left"/>
              <w:rPr>
                <w:rFonts w:ascii="宋体" w:hAnsi="宋体" w:cs="宋体"/>
                <w:szCs w:val="21"/>
              </w:rPr>
            </w:pPr>
            <w:r>
              <w:rPr>
                <w:rFonts w:hint="eastAsia" w:ascii="宋体" w:hAnsi="宋体" w:cs="宋体"/>
                <w:szCs w:val="21"/>
              </w:rPr>
              <w:t>支持随访状态显示，如已随访、未随访等；</w:t>
            </w:r>
          </w:p>
          <w:p>
            <w:pPr>
              <w:numPr>
                <w:ilvl w:val="0"/>
                <w:numId w:val="3"/>
              </w:numPr>
              <w:spacing w:line="400" w:lineRule="exact"/>
              <w:jc w:val="left"/>
              <w:rPr>
                <w:rFonts w:ascii="宋体" w:hAnsi="宋体" w:cs="宋体"/>
                <w:szCs w:val="21"/>
              </w:rPr>
            </w:pPr>
            <w:r>
              <w:rPr>
                <w:rFonts w:hint="eastAsia" w:ascii="宋体" w:hAnsi="宋体" w:cs="宋体"/>
                <w:szCs w:val="21"/>
              </w:rPr>
              <w:t>＃以上功能为使用重点功能，为保证此功能的实际应用，需提供科研随访管理系统软件著作权证明。</w:t>
            </w:r>
          </w:p>
          <w:p>
            <w:pPr>
              <w:pStyle w:val="5"/>
              <w:spacing w:line="400" w:lineRule="exact"/>
              <w:ind w:firstLine="0" w:firstLineChars="0"/>
              <w:rPr>
                <w:b/>
                <w:bCs/>
              </w:rPr>
            </w:pPr>
            <w:r>
              <w:rPr>
                <w:rFonts w:hint="eastAsia"/>
                <w:b/>
                <w:bCs/>
              </w:rPr>
              <w:t>三、电生理信息管理系统软件配置要求:</w:t>
            </w:r>
          </w:p>
          <w:p>
            <w:pPr>
              <w:numPr>
                <w:ilvl w:val="0"/>
                <w:numId w:val="4"/>
              </w:numPr>
              <w:spacing w:line="400" w:lineRule="exact"/>
              <w:textAlignment w:val="center"/>
              <w:rPr>
                <w:rFonts w:ascii="宋体" w:hAnsi="宋体" w:cs="宋体"/>
              </w:rPr>
            </w:pPr>
            <w:r>
              <w:rPr>
                <w:rFonts w:hint="eastAsia" w:ascii="宋体" w:hAnsi="宋体" w:cs="宋体"/>
              </w:rPr>
              <w:t>电生理信息管理系统中心平台</w:t>
            </w:r>
          </w:p>
          <w:p>
            <w:pPr>
              <w:spacing w:line="400" w:lineRule="exact"/>
              <w:ind w:firstLine="210" w:firstLineChars="100"/>
              <w:textAlignment w:val="center"/>
              <w:rPr>
                <w:rFonts w:ascii="宋体" w:hAnsi="宋体" w:cs="宋体"/>
              </w:rPr>
            </w:pPr>
            <w:r>
              <w:rPr>
                <w:rFonts w:hint="eastAsia" w:ascii="宋体" w:hAnsi="宋体" w:cs="宋体"/>
              </w:rPr>
              <w:t>数据库服务模块 1套</w:t>
            </w:r>
          </w:p>
          <w:p>
            <w:pPr>
              <w:spacing w:line="400" w:lineRule="exact"/>
              <w:ind w:firstLine="210" w:firstLineChars="100"/>
              <w:textAlignment w:val="center"/>
              <w:rPr>
                <w:rFonts w:ascii="宋体" w:hAnsi="宋体" w:cs="宋体"/>
              </w:rPr>
            </w:pPr>
            <w:r>
              <w:rPr>
                <w:rFonts w:hint="eastAsia" w:ascii="宋体" w:hAnsi="宋体" w:cs="宋体"/>
              </w:rPr>
              <w:t>存储管理器模块 1套</w:t>
            </w:r>
          </w:p>
          <w:p>
            <w:pPr>
              <w:spacing w:line="400" w:lineRule="exact"/>
              <w:ind w:firstLine="210" w:firstLineChars="100"/>
              <w:textAlignment w:val="center"/>
              <w:rPr>
                <w:rFonts w:ascii="宋体" w:hAnsi="宋体" w:cs="宋体"/>
              </w:rPr>
            </w:pPr>
            <w:r>
              <w:rPr>
                <w:rFonts w:hint="eastAsia" w:ascii="宋体" w:hAnsi="宋体" w:cs="宋体"/>
              </w:rPr>
              <w:t>DICOM服务模块 1套</w:t>
            </w:r>
          </w:p>
          <w:p>
            <w:pPr>
              <w:spacing w:line="400" w:lineRule="exact"/>
              <w:ind w:firstLine="210" w:firstLineChars="100"/>
              <w:textAlignment w:val="center"/>
              <w:rPr>
                <w:rFonts w:ascii="宋体" w:hAnsi="宋体" w:cs="宋体"/>
              </w:rPr>
            </w:pPr>
            <w:r>
              <w:rPr>
                <w:rFonts w:hint="eastAsia" w:ascii="宋体" w:hAnsi="宋体" w:cs="宋体"/>
              </w:rPr>
              <w:t>临床WEB浏览模块 1套</w:t>
            </w:r>
          </w:p>
          <w:p>
            <w:pPr>
              <w:spacing w:line="400" w:lineRule="exact"/>
              <w:ind w:firstLine="210" w:firstLineChars="100"/>
              <w:textAlignment w:val="center"/>
              <w:rPr>
                <w:rFonts w:ascii="宋体" w:hAnsi="宋体" w:cs="宋体"/>
              </w:rPr>
            </w:pPr>
            <w:r>
              <w:rPr>
                <w:rFonts w:hint="eastAsia" w:ascii="宋体" w:hAnsi="宋体" w:cs="宋体"/>
              </w:rPr>
              <w:t>备份归档管理模块 1套</w:t>
            </w:r>
          </w:p>
          <w:p>
            <w:pPr>
              <w:spacing w:line="400" w:lineRule="exact"/>
              <w:ind w:firstLine="210" w:firstLineChars="100"/>
              <w:textAlignment w:val="center"/>
              <w:rPr>
                <w:rFonts w:ascii="宋体" w:hAnsi="宋体" w:cs="宋体"/>
              </w:rPr>
            </w:pPr>
            <w:r>
              <w:rPr>
                <w:rFonts w:hint="eastAsia" w:ascii="宋体" w:hAnsi="宋体" w:cs="宋体"/>
              </w:rPr>
              <w:t>电生理图文报告上传 1套</w:t>
            </w:r>
          </w:p>
          <w:p>
            <w:pPr>
              <w:spacing w:line="400" w:lineRule="exact"/>
              <w:ind w:firstLine="210" w:firstLineChars="100"/>
              <w:textAlignment w:val="center"/>
              <w:rPr>
                <w:rFonts w:ascii="宋体" w:hAnsi="宋体" w:cs="宋体"/>
              </w:rPr>
            </w:pPr>
            <w:r>
              <w:rPr>
                <w:rFonts w:hint="eastAsia" w:ascii="宋体" w:hAnsi="宋体" w:cs="宋体"/>
              </w:rPr>
              <w:t>电生理报告客户端 1套</w:t>
            </w:r>
          </w:p>
          <w:p>
            <w:pPr>
              <w:numPr>
                <w:ilvl w:val="0"/>
                <w:numId w:val="4"/>
              </w:numPr>
              <w:spacing w:line="400" w:lineRule="exact"/>
              <w:textAlignment w:val="center"/>
              <w:rPr>
                <w:rFonts w:ascii="宋体" w:hAnsi="宋体" w:cs="宋体"/>
              </w:rPr>
            </w:pPr>
            <w:r>
              <w:rPr>
                <w:rFonts w:hint="eastAsia" w:ascii="宋体" w:hAnsi="宋体" w:cs="宋体"/>
              </w:rPr>
              <w:t>系统接口模块</w:t>
            </w:r>
          </w:p>
          <w:p>
            <w:pPr>
              <w:spacing w:line="400" w:lineRule="exact"/>
              <w:ind w:firstLine="210" w:firstLineChars="100"/>
              <w:textAlignment w:val="center"/>
              <w:rPr>
                <w:rFonts w:ascii="宋体" w:hAnsi="宋体" w:cs="宋体"/>
              </w:rPr>
            </w:pPr>
            <w:r>
              <w:rPr>
                <w:rFonts w:hint="eastAsia" w:ascii="宋体" w:hAnsi="宋体" w:cs="宋体"/>
              </w:rPr>
              <w:t>HIS接口  1套</w:t>
            </w:r>
          </w:p>
          <w:p>
            <w:pPr>
              <w:spacing w:line="400" w:lineRule="exact"/>
              <w:ind w:firstLine="210" w:firstLineChars="100"/>
              <w:textAlignment w:val="center"/>
              <w:rPr>
                <w:rFonts w:ascii="宋体" w:hAnsi="宋体" w:cs="宋体"/>
              </w:rPr>
            </w:pPr>
            <w:r>
              <w:rPr>
                <w:rFonts w:hint="eastAsia" w:ascii="宋体" w:hAnsi="宋体" w:cs="宋体"/>
              </w:rPr>
              <w:t>PACS接口  1套</w:t>
            </w:r>
          </w:p>
          <w:p>
            <w:pPr>
              <w:spacing w:line="400" w:lineRule="exact"/>
              <w:ind w:firstLine="210" w:firstLineChars="100"/>
              <w:textAlignment w:val="center"/>
              <w:rPr>
                <w:rFonts w:ascii="宋体" w:hAnsi="宋体" w:cs="宋体"/>
              </w:rPr>
            </w:pPr>
            <w:r>
              <w:rPr>
                <w:rFonts w:hint="eastAsia" w:ascii="宋体" w:hAnsi="宋体" w:cs="宋体"/>
              </w:rPr>
              <w:t>CA接口  1套</w:t>
            </w:r>
          </w:p>
          <w:p>
            <w:pPr>
              <w:spacing w:line="400" w:lineRule="exact"/>
              <w:ind w:firstLine="210" w:firstLineChars="100"/>
              <w:textAlignment w:val="center"/>
              <w:rPr>
                <w:rFonts w:ascii="宋体" w:hAnsi="宋体" w:cs="宋体"/>
              </w:rPr>
            </w:pPr>
            <w:r>
              <w:rPr>
                <w:rFonts w:hint="eastAsia" w:ascii="宋体" w:hAnsi="宋体" w:cs="宋体"/>
              </w:rPr>
              <w:t>体检接口 1套</w:t>
            </w:r>
          </w:p>
          <w:p>
            <w:pPr>
              <w:spacing w:line="400" w:lineRule="exact"/>
              <w:ind w:firstLine="210" w:firstLineChars="100"/>
              <w:textAlignment w:val="center"/>
              <w:rPr>
                <w:rFonts w:ascii="宋体" w:hAnsi="宋体" w:cs="宋体"/>
              </w:rPr>
            </w:pPr>
            <w:r>
              <w:rPr>
                <w:rFonts w:hint="eastAsia" w:ascii="宋体" w:hAnsi="宋体" w:cs="宋体"/>
              </w:rPr>
              <w:t>心电网络接口 1套</w:t>
            </w:r>
          </w:p>
          <w:p>
            <w:pPr>
              <w:numPr>
                <w:ilvl w:val="0"/>
                <w:numId w:val="4"/>
              </w:numPr>
              <w:spacing w:line="400" w:lineRule="exact"/>
              <w:textAlignment w:val="center"/>
              <w:rPr>
                <w:rFonts w:ascii="宋体" w:hAnsi="宋体" w:cs="宋体"/>
              </w:rPr>
            </w:pPr>
            <w:r>
              <w:rPr>
                <w:rFonts w:hint="eastAsia" w:ascii="宋体" w:hAnsi="宋体" w:cs="宋体"/>
              </w:rPr>
              <w:t>电生理设备连接服务</w:t>
            </w:r>
          </w:p>
          <w:p>
            <w:pPr>
              <w:spacing w:line="400" w:lineRule="exact"/>
              <w:textAlignment w:val="center"/>
              <w:rPr>
                <w:rFonts w:ascii="宋体" w:hAnsi="宋体" w:cs="宋体"/>
              </w:rPr>
            </w:pPr>
            <w:r>
              <w:rPr>
                <w:rFonts w:hint="eastAsia" w:ascii="宋体" w:hAnsi="宋体" w:cs="宋体"/>
              </w:rPr>
              <w:t>★动态心电图机连接模块  22套</w:t>
            </w:r>
          </w:p>
          <w:p>
            <w:pPr>
              <w:pStyle w:val="5"/>
              <w:spacing w:line="400" w:lineRule="exact"/>
              <w:ind w:firstLine="210" w:firstLineChars="100"/>
              <w:rPr>
                <w:rFonts w:ascii="宋体" w:hAnsi="宋体" w:cs="宋体"/>
              </w:rPr>
            </w:pPr>
            <w:r>
              <w:rPr>
                <w:rFonts w:hint="eastAsia" w:ascii="宋体" w:hAnsi="宋体" w:cs="宋体"/>
              </w:rPr>
              <w:t>动态血压  9套</w:t>
            </w:r>
          </w:p>
          <w:p>
            <w:pPr>
              <w:spacing w:line="400" w:lineRule="exact"/>
              <w:textAlignment w:val="center"/>
              <w:rPr>
                <w:rFonts w:ascii="宋体" w:hAnsi="宋体" w:cs="宋体"/>
              </w:rPr>
            </w:pPr>
            <w:r>
              <w:rPr>
                <w:rFonts w:hint="eastAsia" w:ascii="宋体" w:hAnsi="宋体" w:cs="宋体"/>
              </w:rPr>
              <w:t>★电生理设备连接模块 31套</w:t>
            </w:r>
          </w:p>
          <w:p>
            <w:pPr>
              <w:pStyle w:val="5"/>
              <w:spacing w:line="400" w:lineRule="exact"/>
              <w:ind w:firstLine="0" w:firstLineChars="0"/>
              <w:rPr>
                <w:rFonts w:ascii="宋体" w:hAnsi="宋体" w:cs="宋体"/>
                <w:szCs w:val="21"/>
              </w:rPr>
            </w:pPr>
            <w:r>
              <w:rPr>
                <w:rFonts w:hint="eastAsia" w:ascii="宋体" w:hAnsi="宋体" w:cs="宋体"/>
              </w:rPr>
              <w:t>（肌电图、脑电图、TCD、肺功能，电测听等31套设备）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776" w:type="dxa"/>
            <w:vAlign w:val="center"/>
          </w:tcPr>
          <w:p>
            <w:pPr>
              <w:spacing w:line="400" w:lineRule="exact"/>
              <w:jc w:val="center"/>
              <w:rPr>
                <w:rFonts w:ascii="宋体" w:hAnsi="宋体" w:cs="宋体"/>
              </w:rPr>
            </w:pPr>
            <w:r>
              <w:rPr>
                <w:rFonts w:hint="eastAsia" w:ascii="宋体" w:hAnsi="宋体" w:cs="宋体"/>
              </w:rPr>
              <w:t>3</w:t>
            </w:r>
          </w:p>
        </w:tc>
        <w:tc>
          <w:tcPr>
            <w:tcW w:w="1190" w:type="dxa"/>
            <w:vAlign w:val="center"/>
          </w:tcPr>
          <w:p>
            <w:pPr>
              <w:spacing w:line="400" w:lineRule="exact"/>
              <w:rPr>
                <w:rFonts w:ascii="宋体" w:hAnsi="宋体" w:cs="宋体"/>
              </w:rPr>
            </w:pPr>
            <w:r>
              <w:rPr>
                <w:rFonts w:hint="eastAsia" w:ascii="宋体" w:hAnsi="宋体" w:cs="宋体"/>
              </w:rPr>
              <w:t>其他</w:t>
            </w:r>
          </w:p>
        </w:tc>
        <w:tc>
          <w:tcPr>
            <w:tcW w:w="7413" w:type="dxa"/>
            <w:gridSpan w:val="2"/>
            <w:vAlign w:val="center"/>
          </w:tcPr>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★1、硬件质保3年，软件质保1年。</w:t>
            </w:r>
          </w:p>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★2、实施验收周期，自合同签订后90日内完成。</w:t>
            </w:r>
          </w:p>
          <w:p>
            <w:pPr>
              <w:pStyle w:val="9"/>
              <w:spacing w:line="400" w:lineRule="exact"/>
              <w:ind w:firstLine="0" w:firstLineChars="0"/>
              <w:jc w:val="left"/>
              <w:rPr>
                <w:rFonts w:ascii="宋体" w:hAnsi="宋体" w:cs="宋体"/>
                <w:sz w:val="24"/>
                <w:szCs w:val="24"/>
              </w:rPr>
            </w:pPr>
            <w:r>
              <w:rPr>
                <w:rFonts w:hint="eastAsia" w:ascii="宋体" w:hAnsi="宋体" w:cs="宋体"/>
                <w:sz w:val="24"/>
                <w:szCs w:val="24"/>
              </w:rPr>
              <w:t>★3、提供操作手册，数据结构等全套技术文档。</w:t>
            </w:r>
          </w:p>
          <w:p>
            <w:pPr>
              <w:pStyle w:val="9"/>
              <w:spacing w:line="400" w:lineRule="exact"/>
              <w:ind w:firstLine="0" w:firstLineChars="0"/>
              <w:jc w:val="left"/>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4、数据安全认证，心电网络系统具有专业的“加密锁”进行保护所投系统需符合信息安全等级保护要求，投标人提供由公安部认证的信息系统安全等级保护备案证明，明确信息系统的名称和保护等级（提供证明文件）</w:t>
            </w:r>
          </w:p>
          <w:p>
            <w:pPr>
              <w:pStyle w:val="9"/>
              <w:spacing w:line="400" w:lineRule="exact"/>
              <w:ind w:firstLine="0" w:firstLineChars="0"/>
              <w:jc w:val="left"/>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5、运维服务认证，为确保运维团队的专业性，稳定性，及时性，需要提供信息技术服务管理体系认证资质。为保证供应商在应用软件开发与维护、硬件运维能够提供相应的服务管理体系（提供证明文件）</w:t>
            </w:r>
          </w:p>
          <w:p>
            <w:pPr>
              <w:pStyle w:val="9"/>
              <w:spacing w:line="400" w:lineRule="exact"/>
              <w:ind w:firstLine="0" w:firstLineChars="0"/>
              <w:jc w:val="left"/>
              <w:rPr>
                <w:rFonts w:ascii="宋体" w:hAnsi="宋体" w:cs="宋体"/>
                <w:szCs w:val="21"/>
              </w:rPr>
            </w:pPr>
            <w:r>
              <w:rPr>
                <w:rFonts w:hint="eastAsia" w:ascii="宋体" w:hAnsi="宋体" w:cs="宋体"/>
                <w:b/>
                <w:bCs/>
                <w:sz w:val="24"/>
                <w:szCs w:val="24"/>
              </w:rPr>
              <w:t>＃</w:t>
            </w:r>
            <w:r>
              <w:rPr>
                <w:rFonts w:hint="eastAsia" w:ascii="宋体" w:hAnsi="宋体" w:cs="宋体"/>
                <w:sz w:val="24"/>
                <w:szCs w:val="24"/>
              </w:rPr>
              <w:t>6、知识产权管理体系认证，系统与计算机应用软件的研发，满足医院客户化需求应用及扩展。（要求证明文件）</w:t>
            </w:r>
          </w:p>
        </w:tc>
      </w:tr>
    </w:tbl>
    <w:p>
      <w:pPr>
        <w:pStyle w:val="2"/>
        <w:rPr>
          <w:rFonts w:hint="default"/>
          <w:lang w:val="en-US" w:eastAsia="zh-CN"/>
        </w:rPr>
      </w:pPr>
    </w:p>
    <w:p>
      <w:pPr>
        <w:rPr>
          <w:rFonts w:hint="default"/>
          <w:lang w:val="en-US" w:eastAsia="zh-CN"/>
        </w:rPr>
      </w:pPr>
      <w:r>
        <w:rPr>
          <w:rFonts w:hint="default"/>
          <w:lang w:val="en-US" w:eastAsia="zh-CN"/>
        </w:rPr>
        <w:br w:type="page"/>
      </w:r>
    </w:p>
    <w:p>
      <w:pPr>
        <w:pStyle w:val="2"/>
        <w:rPr>
          <w:rFonts w:ascii="Arial" w:hAnsi="Arial" w:cs="Arial"/>
          <w:b/>
          <w:color w:val="000000" w:themeColor="text1"/>
          <w14:textFill>
            <w14:solidFill>
              <w14:schemeClr w14:val="tx1"/>
            </w14:solidFill>
          </w14:textFill>
        </w:rPr>
      </w:pPr>
      <w:r>
        <w:rPr>
          <w:rFonts w:hint="eastAsia"/>
          <w:lang w:val="en-US" w:eastAsia="zh-CN"/>
        </w:rPr>
        <w:t>2、</w:t>
      </w:r>
      <w:r>
        <w:rPr>
          <w:rFonts w:hint="eastAsia" w:ascii="宋体" w:hAnsi="宋体" w:cs="宋体"/>
          <w:color w:val="000000"/>
          <w:sz w:val="21"/>
          <w:szCs w:val="21"/>
          <w:lang w:bidi="ar"/>
        </w:rPr>
        <w:t>2022-JKMTDY-W1069</w:t>
      </w:r>
    </w:p>
    <w:tbl>
      <w:tblPr>
        <w:tblStyle w:val="6"/>
        <w:tblW w:w="930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86"/>
        <w:gridCol w:w="7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43"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rPr>
              <w:t>项目名称</w:t>
            </w:r>
          </w:p>
        </w:tc>
        <w:tc>
          <w:tcPr>
            <w:tcW w:w="7357" w:type="dxa"/>
            <w:tcBorders>
              <w:top w:val="single" w:color="auto" w:sz="4" w:space="0"/>
            </w:tcBorders>
            <w:vAlign w:val="center"/>
          </w:tcPr>
          <w:p>
            <w:pPr>
              <w:widowControl/>
              <w:snapToGrid w:val="0"/>
              <w:spacing w:line="400" w:lineRule="exact"/>
              <w:ind w:right="-1459" w:rightChars="-695" w:firstLine="1890" w:firstLineChars="900"/>
              <w:rPr>
                <w:rFonts w:ascii="宋体" w:hAnsi="宋体" w:cs="宋体"/>
              </w:rPr>
            </w:pPr>
            <w:r>
              <w:rPr>
                <w:rFonts w:hint="eastAsia" w:ascii="宋体" w:hAnsi="宋体" w:cs="宋体"/>
              </w:rPr>
              <w:t>抗菌药物临床决策支持系统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43"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rPr>
              <w:t>项目编号</w:t>
            </w:r>
          </w:p>
        </w:tc>
        <w:tc>
          <w:tcPr>
            <w:tcW w:w="7357" w:type="dxa"/>
            <w:tcBorders>
              <w:top w:val="single" w:color="auto" w:sz="4" w:space="0"/>
            </w:tcBorders>
            <w:vAlign w:val="center"/>
          </w:tcPr>
          <w:p>
            <w:pPr>
              <w:widowControl/>
              <w:snapToGrid w:val="0"/>
              <w:spacing w:line="400" w:lineRule="exact"/>
              <w:ind w:right="-1459" w:rightChars="-695" w:firstLine="1890" w:firstLineChars="900"/>
              <w:rPr>
                <w:rFonts w:ascii="宋体" w:hAnsi="宋体" w:cs="宋体"/>
              </w:rPr>
            </w:pPr>
            <w:r>
              <w:rPr>
                <w:rFonts w:hint="eastAsia" w:ascii="宋体" w:hAnsi="宋体" w:cs="宋体"/>
                <w:color w:val="000000"/>
                <w:lang w:bidi="ar"/>
              </w:rPr>
              <w:t>2022-JKMTDY-W1069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43"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color w:val="000000"/>
              </w:rPr>
              <w:t>是否进口</w:t>
            </w:r>
          </w:p>
        </w:tc>
        <w:tc>
          <w:tcPr>
            <w:tcW w:w="7357" w:type="dxa"/>
            <w:tcBorders>
              <w:top w:val="single" w:color="auto" w:sz="4" w:space="0"/>
            </w:tcBorders>
            <w:vAlign w:val="center"/>
          </w:tcPr>
          <w:p>
            <w:pPr>
              <w:widowControl/>
              <w:snapToGrid w:val="0"/>
              <w:spacing w:line="400" w:lineRule="exact"/>
              <w:ind w:right="-1459" w:rightChars="-695" w:firstLine="1890" w:firstLineChars="900"/>
              <w:rPr>
                <w:rFonts w:ascii="宋体" w:hAnsi="宋体" w:cs="宋体"/>
              </w:rPr>
            </w:pPr>
            <w:r>
              <w:rPr>
                <w:rFonts w:hint="eastAsia" w:ascii="宋体" w:hAnsi="宋体" w:cs="宋体"/>
                <w:color w:val="000000"/>
              </w:rPr>
              <w:t>■国产□进口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43" w:type="dxa"/>
            <w:gridSpan w:val="2"/>
            <w:tcBorders>
              <w:top w:val="single" w:color="auto" w:sz="4" w:space="0"/>
            </w:tcBorders>
            <w:vAlign w:val="center"/>
          </w:tcPr>
          <w:p>
            <w:pPr>
              <w:widowControl/>
              <w:snapToGrid w:val="0"/>
              <w:spacing w:line="400" w:lineRule="exact"/>
              <w:jc w:val="center"/>
              <w:rPr>
                <w:rFonts w:ascii="宋体" w:hAnsi="宋体" w:cs="宋体"/>
              </w:rPr>
            </w:pPr>
            <w:r>
              <w:rPr>
                <w:rFonts w:hint="eastAsia" w:ascii="宋体" w:hAnsi="宋体" w:cs="宋体"/>
              </w:rPr>
              <w:t>预算总价（元）</w:t>
            </w:r>
          </w:p>
        </w:tc>
        <w:tc>
          <w:tcPr>
            <w:tcW w:w="7357" w:type="dxa"/>
            <w:tcBorders>
              <w:top w:val="single" w:color="auto" w:sz="4" w:space="0"/>
            </w:tcBorders>
            <w:vAlign w:val="center"/>
          </w:tcPr>
          <w:p>
            <w:pPr>
              <w:widowControl/>
              <w:snapToGrid w:val="0"/>
              <w:spacing w:line="400" w:lineRule="exact"/>
              <w:ind w:right="-1459" w:rightChars="-695" w:firstLine="1890" w:firstLineChars="900"/>
              <w:rPr>
                <w:rFonts w:ascii="宋体" w:hAnsi="宋体" w:cs="宋体"/>
              </w:rPr>
            </w:pPr>
            <w:r>
              <w:rPr>
                <w:rFonts w:hint="eastAsia" w:ascii="宋体" w:hAnsi="宋体" w:cs="宋体"/>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57"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序号</w:t>
            </w:r>
          </w:p>
        </w:tc>
        <w:tc>
          <w:tcPr>
            <w:tcW w:w="1186"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指标名称</w:t>
            </w:r>
          </w:p>
        </w:tc>
        <w:tc>
          <w:tcPr>
            <w:tcW w:w="7357"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757" w:type="dxa"/>
            <w:vAlign w:val="center"/>
          </w:tcPr>
          <w:p>
            <w:pPr>
              <w:spacing w:line="400" w:lineRule="exact"/>
              <w:jc w:val="center"/>
              <w:rPr>
                <w:rFonts w:ascii="宋体" w:hAnsi="宋体" w:cs="宋体"/>
              </w:rPr>
            </w:pPr>
            <w:r>
              <w:rPr>
                <w:rFonts w:hint="eastAsia" w:ascii="宋体" w:hAnsi="宋体" w:cs="宋体"/>
              </w:rPr>
              <w:t>1</w:t>
            </w:r>
          </w:p>
        </w:tc>
        <w:tc>
          <w:tcPr>
            <w:tcW w:w="1186" w:type="dxa"/>
            <w:vAlign w:val="center"/>
          </w:tcPr>
          <w:p>
            <w:pPr>
              <w:spacing w:line="400" w:lineRule="exact"/>
              <w:jc w:val="center"/>
              <w:rPr>
                <w:rFonts w:ascii="宋体" w:hAnsi="宋体" w:cs="宋体"/>
              </w:rPr>
            </w:pPr>
            <w:r>
              <w:rPr>
                <w:rFonts w:hint="eastAsia" w:ascii="宋体" w:hAnsi="宋体" w:cs="宋体"/>
              </w:rPr>
              <w:t>服务器</w:t>
            </w:r>
          </w:p>
        </w:tc>
        <w:tc>
          <w:tcPr>
            <w:tcW w:w="7357" w:type="dxa"/>
            <w:vAlign w:val="center"/>
          </w:tcPr>
          <w:p>
            <w:pPr>
              <w:spacing w:line="400" w:lineRule="exact"/>
              <w:rPr>
                <w:rFonts w:ascii="宋体" w:hAnsi="宋体" w:cs="宋体"/>
              </w:rPr>
            </w:pPr>
            <w:r>
              <w:rPr>
                <w:rFonts w:hint="eastAsia" w:ascii="宋体" w:hAnsi="宋体" w:cs="宋体"/>
              </w:rPr>
              <w:t>★数量：1台</w:t>
            </w:r>
          </w:p>
          <w:p>
            <w:pPr>
              <w:spacing w:line="400" w:lineRule="exact"/>
              <w:rPr>
                <w:rFonts w:ascii="宋体" w:hAnsi="宋体" w:cs="宋体"/>
              </w:rPr>
            </w:pPr>
            <w:r>
              <w:rPr>
                <w:rFonts w:hint="eastAsia" w:ascii="宋体" w:hAnsi="宋体" w:cs="宋体"/>
              </w:rPr>
              <w:t>★处理器:配置</w:t>
            </w:r>
            <w:r>
              <w:rPr>
                <w:rFonts w:hint="eastAsia" w:ascii="宋体" w:hAnsi="宋体" w:cs="宋体"/>
                <w:b/>
                <w:bCs/>
                <w:color w:val="000000"/>
              </w:rPr>
              <w:t>≥</w:t>
            </w:r>
            <w:r>
              <w:rPr>
                <w:rFonts w:hint="eastAsia" w:ascii="宋体" w:hAnsi="宋体" w:cs="宋体"/>
              </w:rPr>
              <w:t xml:space="preserve">2*Intel Xeon 4216 (16C,100W,2.1GHz)处理器 </w:t>
            </w:r>
          </w:p>
          <w:p>
            <w:pPr>
              <w:spacing w:line="400" w:lineRule="exact"/>
              <w:rPr>
                <w:rFonts w:ascii="宋体" w:hAnsi="宋体" w:cs="宋体"/>
              </w:rPr>
            </w:pPr>
            <w:r>
              <w:rPr>
                <w:rFonts w:hint="eastAsia" w:ascii="宋体" w:hAnsi="宋体" w:cs="宋体"/>
              </w:rPr>
              <w:t>★内存类型:256GB DDR4内存</w:t>
            </w:r>
          </w:p>
          <w:p>
            <w:pPr>
              <w:spacing w:line="400" w:lineRule="exact"/>
              <w:rPr>
                <w:rFonts w:ascii="宋体" w:hAnsi="宋体" w:cs="宋体"/>
              </w:rPr>
            </w:pPr>
            <w:r>
              <w:rPr>
                <w:rFonts w:hint="eastAsia" w:ascii="宋体" w:hAnsi="宋体" w:cs="宋体"/>
              </w:rPr>
              <w:t>RAID控制器:配置独立8通道2GB缓存高性能SAS RAID卡，支持RAID0/1/5/6/10/50等</w:t>
            </w:r>
          </w:p>
          <w:p>
            <w:pPr>
              <w:spacing w:line="400" w:lineRule="exact"/>
              <w:rPr>
                <w:rFonts w:ascii="宋体" w:hAnsi="宋体" w:cs="宋体"/>
              </w:rPr>
            </w:pPr>
            <w:r>
              <w:rPr>
                <w:rFonts w:hint="eastAsia" w:ascii="宋体" w:hAnsi="宋体" w:cs="宋体"/>
              </w:rPr>
              <w:t>主板集成SATA控制器、PCI-E外插卡，支持12G RAID卡，支持RAID 0、1、10、1E、5、50、6、60等，支持4GB缓存，支持Cache超级电容保护，提供RAID卡状态迁移、RAID卡配置记忆</w:t>
            </w:r>
          </w:p>
          <w:p>
            <w:pPr>
              <w:spacing w:line="400" w:lineRule="exact"/>
              <w:rPr>
                <w:rFonts w:ascii="宋体" w:hAnsi="宋体" w:cs="宋体"/>
              </w:rPr>
            </w:pPr>
            <w:r>
              <w:rPr>
                <w:rFonts w:hint="eastAsia" w:ascii="宋体" w:hAnsi="宋体" w:cs="宋体"/>
              </w:rPr>
              <w:t>网卡控制器:2*1GE高性能千兆网口</w:t>
            </w:r>
          </w:p>
          <w:p>
            <w:pPr>
              <w:spacing w:line="400" w:lineRule="exact"/>
              <w:rPr>
                <w:rFonts w:ascii="宋体" w:hAnsi="宋体" w:cs="宋体"/>
              </w:rPr>
            </w:pPr>
            <w:r>
              <w:rPr>
                <w:rFonts w:hint="eastAsia" w:ascii="宋体" w:hAnsi="宋体" w:cs="宋体"/>
              </w:rPr>
              <w:t>板载支持OCP标准卡或PHY卡、PCI-E外插卡；</w:t>
            </w:r>
          </w:p>
          <w:p>
            <w:pPr>
              <w:spacing w:line="400" w:lineRule="exact"/>
              <w:rPr>
                <w:rFonts w:ascii="宋体" w:hAnsi="宋体" w:cs="宋体"/>
              </w:rPr>
            </w:pPr>
            <w:r>
              <w:rPr>
                <w:rFonts w:hint="eastAsia" w:ascii="宋体" w:hAnsi="宋体" w:cs="宋体"/>
              </w:rPr>
              <w:t xml:space="preserve">显卡:主板集成图形控制器，32MB显存；                                                                                                </w:t>
            </w:r>
          </w:p>
          <w:p>
            <w:pPr>
              <w:spacing w:line="400" w:lineRule="exact"/>
              <w:rPr>
                <w:rFonts w:ascii="宋体" w:hAnsi="宋体" w:cs="宋体"/>
              </w:rPr>
            </w:pPr>
            <w:r>
              <w:rPr>
                <w:rFonts w:hint="eastAsia" w:ascii="宋体" w:hAnsi="宋体" w:cs="宋体"/>
              </w:rPr>
              <w:t>PCIE扩展:支持9个PCIE插槽，1个OCP/PHY卡专用PCIE插槽;最大支持4个双宽GPU、8个单宽GPU,通过GPU BOX PCIE扩展可单机最大支持16块GPU卡</w:t>
            </w:r>
          </w:p>
          <w:p>
            <w:pPr>
              <w:spacing w:line="400" w:lineRule="exact"/>
              <w:rPr>
                <w:rFonts w:ascii="宋体" w:hAnsi="宋体" w:cs="宋体"/>
              </w:rPr>
            </w:pPr>
            <w:r>
              <w:rPr>
                <w:rFonts w:hint="eastAsia" w:ascii="宋体" w:hAnsi="宋体" w:cs="宋体"/>
              </w:rPr>
              <w:t>硬盘：3*2T SATA 3.5 7.2K热插拔硬盘                                                      电源:配置两个热插拔冗余电源。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57" w:type="dxa"/>
            <w:vMerge w:val="restart"/>
            <w:vAlign w:val="center"/>
          </w:tcPr>
          <w:p>
            <w:pPr>
              <w:spacing w:line="400" w:lineRule="exact"/>
              <w:jc w:val="center"/>
              <w:rPr>
                <w:rFonts w:ascii="宋体" w:hAnsi="宋体" w:cs="宋体"/>
              </w:rPr>
            </w:pPr>
            <w:r>
              <w:rPr>
                <w:rFonts w:hint="eastAsia" w:ascii="宋体" w:hAnsi="宋体" w:cs="宋体"/>
              </w:rPr>
              <w:t>2</w:t>
            </w:r>
          </w:p>
        </w:tc>
        <w:tc>
          <w:tcPr>
            <w:tcW w:w="1186" w:type="dxa"/>
            <w:vMerge w:val="restart"/>
            <w:vAlign w:val="center"/>
          </w:tcPr>
          <w:p>
            <w:pPr>
              <w:spacing w:line="400" w:lineRule="exact"/>
              <w:jc w:val="center"/>
              <w:rPr>
                <w:rFonts w:ascii="宋体" w:hAnsi="宋体" w:cs="宋体"/>
              </w:rPr>
            </w:pPr>
            <w:r>
              <w:rPr>
                <w:rFonts w:hint="eastAsia" w:ascii="宋体" w:hAnsi="宋体" w:cs="宋体"/>
              </w:rPr>
              <w:t>总体技术要求</w:t>
            </w:r>
          </w:p>
        </w:tc>
        <w:tc>
          <w:tcPr>
            <w:tcW w:w="7357" w:type="dxa"/>
            <w:vAlign w:val="center"/>
          </w:tcPr>
          <w:p>
            <w:pPr>
              <w:spacing w:line="400" w:lineRule="exact"/>
              <w:rPr>
                <w:rFonts w:ascii="宋体" w:hAnsi="宋体" w:cs="宋体"/>
              </w:rPr>
            </w:pPr>
            <w:r>
              <w:rPr>
                <w:rFonts w:hint="eastAsia" w:ascii="宋体" w:hAnsi="宋体" w:cs="宋体"/>
              </w:rPr>
              <w:t>#2.1、所有功能模块须构建并运行在统一的一体化应用平台之上，系统必须支持单点登录。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★2.2、通过本次系统建设，为药学部门搭建起主题数据中心。主题数据中心必须内建ETL数据处理机制，能实现对各类关系型数据库及非关系型数据库（NoSQL）进行数据采集</w:t>
            </w:r>
            <w:r>
              <w:rPr>
                <w:rFonts w:hint="eastAsia" w:ascii="宋体" w:hAnsi="宋体" w:cs="宋体"/>
                <w:bCs/>
              </w:rPr>
              <w:t>、清洗、处理及数据整合。包含但不限于：HIS、LIS、EMR、手麻等数据。</w:t>
            </w:r>
            <w:r>
              <w:rPr>
                <w:rFonts w:hint="eastAsia" w:ascii="宋体" w:hAnsi="宋体" w:cs="宋体"/>
              </w:rPr>
              <w:t>不得对包括HIS在内的各临床业务系统和数据库产生性能压力和功能影响。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2.3为满足利用本系统在后续可按需扩展更多的临床决策支持及管控功能体系，临床主题数据平台必须具备良好的动态性和灵活性，无缝响应前端各类决策支持和医疗管控业务功能的增加和调整，底层数据库必须具备在不停服务器运行状态的条件下可根据新的业务功能来动态扩展或调整底层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★2.4本系统与HIS等业务系统之间的软件接口必须基于松耦合设计，即系统通过HIS嵌套接口传入数据,只能是当前医生新增、修改处方/医嘱数据，不能包含历史处方/医嘱、检验检查、手术、诊断等数据。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#2.5系统应具备面向诊疗行为、诊疗项目等横向业务功能扩展能力，使得医院未来可以根据自身管理的实际需求在本系统内水平扩充医疗行为监管等事前管控功能，从而满足医院对医疗管控业务未来发展的需求。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pStyle w:val="9"/>
              <w:spacing w:line="400" w:lineRule="exact"/>
              <w:ind w:firstLine="0" w:firstLineChars="0"/>
              <w:jc w:val="left"/>
              <w:rPr>
                <w:rFonts w:ascii="宋体" w:hAnsi="宋体" w:cs="宋体"/>
                <w:kern w:val="0"/>
                <w:sz w:val="24"/>
                <w:szCs w:val="24"/>
              </w:rPr>
            </w:pPr>
            <w:r>
              <w:rPr>
                <w:rFonts w:hint="eastAsia" w:ascii="宋体" w:hAnsi="宋体" w:cs="宋体"/>
                <w:kern w:val="0"/>
                <w:sz w:val="24"/>
                <w:szCs w:val="24"/>
              </w:rPr>
              <w:t>#2.6为便于医院的使用及维护，软件必须基于B/S架构设计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ascii="宋体" w:hAnsi="宋体" w:cs="宋体"/>
                <w:sz w:val="21"/>
                <w:szCs w:val="21"/>
              </w:rPr>
            </w:pPr>
          </w:p>
        </w:tc>
        <w:tc>
          <w:tcPr>
            <w:tcW w:w="7357" w:type="dxa"/>
            <w:vAlign w:val="center"/>
          </w:tcPr>
          <w:p>
            <w:pPr>
              <w:spacing w:line="400" w:lineRule="exact"/>
              <w:rPr>
                <w:rFonts w:ascii="宋体" w:hAnsi="宋体" w:cs="宋体"/>
              </w:rPr>
            </w:pPr>
            <w:r>
              <w:rPr>
                <w:rFonts w:hint="eastAsia" w:ascii="宋体" w:hAnsi="宋体" w:cs="宋体"/>
              </w:rPr>
              <w:t>#2.7针对不同的功能应用模块应提供多种工作模式，包括提供API接口供第三方业务系统调用方式、嵌入医院HIS工作站的方式、无须在医生、药师端安装客户端程序。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pStyle w:val="9"/>
              <w:spacing w:line="400" w:lineRule="exact"/>
              <w:ind w:firstLine="0" w:firstLineChars="0"/>
              <w:jc w:val="left"/>
              <w:rPr>
                <w:rFonts w:ascii="宋体" w:hAnsi="宋体" w:cs="宋体"/>
                <w:kern w:val="0"/>
                <w:sz w:val="24"/>
                <w:szCs w:val="24"/>
              </w:rPr>
            </w:pPr>
            <w:r>
              <w:rPr>
                <w:rFonts w:hint="eastAsia" w:ascii="宋体" w:hAnsi="宋体" w:cs="宋体"/>
                <w:kern w:val="0"/>
                <w:sz w:val="24"/>
                <w:szCs w:val="24"/>
              </w:rPr>
              <w:t>#2.8系统部署所需的操作系统和数据库软件系统由投标人提供并安装，要求无版权问题。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restart"/>
            <w:vAlign w:val="center"/>
          </w:tcPr>
          <w:p>
            <w:pPr>
              <w:spacing w:line="400" w:lineRule="exact"/>
              <w:rPr>
                <w:rFonts w:ascii="宋体" w:hAnsi="宋体" w:cs="宋体"/>
              </w:rPr>
            </w:pPr>
            <w:r>
              <w:rPr>
                <w:rFonts w:hint="eastAsia" w:ascii="宋体" w:hAnsi="宋体" w:cs="宋体"/>
              </w:rPr>
              <w:t>3</w:t>
            </w:r>
          </w:p>
          <w:p>
            <w:pPr>
              <w:spacing w:line="400" w:lineRule="exact"/>
              <w:rPr>
                <w:rFonts w:ascii="宋体" w:hAnsi="宋体" w:cs="宋体"/>
              </w:rPr>
            </w:pPr>
          </w:p>
        </w:tc>
        <w:tc>
          <w:tcPr>
            <w:tcW w:w="1186" w:type="dxa"/>
            <w:vMerge w:val="restart"/>
            <w:vAlign w:val="center"/>
          </w:tcPr>
          <w:p>
            <w:pPr>
              <w:spacing w:line="400" w:lineRule="exact"/>
              <w:rPr>
                <w:rFonts w:ascii="宋体" w:hAnsi="宋体" w:cs="宋体"/>
              </w:rPr>
            </w:pPr>
            <w:r>
              <w:rPr>
                <w:rFonts w:hint="eastAsia" w:ascii="宋体" w:hAnsi="宋体" w:cs="宋体"/>
              </w:rPr>
              <w:t>抗菌药物事前监控</w:t>
            </w:r>
          </w:p>
          <w:p>
            <w:pPr>
              <w:spacing w:line="400" w:lineRule="exact"/>
              <w:rPr>
                <w:rFonts w:ascii="宋体" w:hAnsi="宋体" w:cs="宋体"/>
              </w:rPr>
            </w:pPr>
          </w:p>
        </w:tc>
        <w:tc>
          <w:tcPr>
            <w:tcW w:w="7357" w:type="dxa"/>
            <w:vAlign w:val="center"/>
          </w:tcPr>
          <w:p>
            <w:pPr>
              <w:spacing w:line="400" w:lineRule="exact"/>
              <w:rPr>
                <w:rFonts w:ascii="宋体" w:hAnsi="宋体" w:cs="宋体"/>
              </w:rPr>
            </w:pPr>
            <w:r>
              <w:rPr>
                <w:rFonts w:hint="eastAsia" w:ascii="宋体" w:hAnsi="宋体" w:cs="宋体"/>
              </w:rPr>
              <w:t>3.1抗菌药物超权限用药管控</w:t>
            </w:r>
          </w:p>
          <w:p>
            <w:pPr>
              <w:spacing w:line="400" w:lineRule="exact"/>
              <w:rPr>
                <w:rFonts w:ascii="宋体" w:hAnsi="宋体" w:cs="宋体"/>
              </w:rPr>
            </w:pPr>
            <w:r>
              <w:rPr>
                <w:rFonts w:hint="eastAsia" w:ascii="宋体" w:hAnsi="宋体" w:cs="宋体"/>
              </w:rPr>
              <w:t>根据《抗菌药物临床应用指导原则》对抗菌药物分级管理之要求，当医生在开具包含抗菌药物的医嘱或处方时，如果医生的使用权限和抗菌药物使用等级不匹配，系统将进行警示及干预。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rPr>
                <w:rFonts w:ascii="宋体" w:hAnsi="宋体" w:cs="宋体"/>
                <w:sz w:val="21"/>
                <w:szCs w:val="21"/>
              </w:rPr>
            </w:pPr>
          </w:p>
        </w:tc>
        <w:tc>
          <w:tcPr>
            <w:tcW w:w="1186" w:type="dxa"/>
            <w:vMerge w:val="continue"/>
            <w:vAlign w:val="center"/>
          </w:tcPr>
          <w:p>
            <w:pPr>
              <w:spacing w:line="400" w:lineRule="exact"/>
              <w:rPr>
                <w:rFonts w:ascii="宋体" w:hAnsi="宋体" w:cs="宋体"/>
                <w:sz w:val="21"/>
                <w:szCs w:val="21"/>
              </w:rPr>
            </w:pPr>
          </w:p>
        </w:tc>
        <w:tc>
          <w:tcPr>
            <w:tcW w:w="7357" w:type="dxa"/>
            <w:vAlign w:val="center"/>
          </w:tcPr>
          <w:p>
            <w:pPr>
              <w:spacing w:line="400" w:lineRule="exact"/>
              <w:rPr>
                <w:rFonts w:ascii="宋体" w:hAnsi="宋体" w:cs="宋体"/>
              </w:rPr>
            </w:pPr>
            <w:r>
              <w:rPr>
                <w:rFonts w:hint="eastAsia" w:ascii="宋体" w:hAnsi="宋体" w:cs="宋体"/>
              </w:rPr>
              <w:t>3.2抗菌药物无指征用药管控</w:t>
            </w:r>
          </w:p>
          <w:p>
            <w:pPr>
              <w:spacing w:line="400" w:lineRule="exact"/>
              <w:rPr>
                <w:rFonts w:ascii="宋体" w:hAnsi="宋体" w:cs="宋体"/>
              </w:rPr>
            </w:pPr>
            <w:r>
              <w:rPr>
                <w:rFonts w:hint="eastAsia" w:ascii="宋体" w:hAnsi="宋体" w:cs="宋体"/>
              </w:rPr>
              <w:t>医生开具包含抗菌药物的医嘱或处方时，可监控当前患者是否具备使用抗菌药物的相关用药指征，可根据监测结果的严重程度对医嘱实时进行相应的干预或警告。支持药学部自由设置用药指征。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3.3抗菌药物联合用药管控</w:t>
            </w:r>
          </w:p>
          <w:p>
            <w:pPr>
              <w:spacing w:line="400" w:lineRule="exact"/>
              <w:rPr>
                <w:rFonts w:ascii="宋体" w:hAnsi="宋体" w:cs="宋体"/>
              </w:rPr>
            </w:pPr>
            <w:r>
              <w:rPr>
                <w:rFonts w:hint="eastAsia" w:ascii="宋体" w:hAnsi="宋体" w:cs="宋体"/>
              </w:rPr>
              <w:t>医生在下达包含多种抗菌药物的医嘱或处方时，如果联用数超过医院管理要求，可根据监测结果的严重程度对医嘱实时进行相应的干预或警告。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★3.4病原微生物送检管控</w:t>
            </w:r>
          </w:p>
          <w:p>
            <w:pPr>
              <w:spacing w:line="400" w:lineRule="exact"/>
              <w:rPr>
                <w:rFonts w:ascii="宋体" w:hAnsi="宋体" w:cs="宋体"/>
              </w:rPr>
            </w:pPr>
            <w:r>
              <w:rPr>
                <w:rFonts w:hint="eastAsia" w:ascii="宋体" w:hAnsi="宋体" w:cs="宋体"/>
              </w:rPr>
              <w:t>医生在开具抗菌药物处方医嘱时，系统会监测此患者是否进行病原学送检，如果患者未进行病原学送检，系统会向医生进行警示提醒及干预。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★3.5细菌培养结果监控</w:t>
            </w:r>
          </w:p>
          <w:p>
            <w:pPr>
              <w:spacing w:line="400" w:lineRule="exact"/>
              <w:rPr>
                <w:rFonts w:ascii="宋体" w:hAnsi="宋体" w:cs="宋体"/>
              </w:rPr>
            </w:pPr>
            <w:r>
              <w:rPr>
                <w:rFonts w:hint="eastAsia" w:ascii="宋体" w:hAnsi="宋体" w:cs="宋体"/>
              </w:rPr>
              <w:t>医生开具包含抗菌药物的医嘱或处方时，可监测医嘱或处方中是否存在药敏报告为耐药的抗菌药物品种，并根据监测结果的严重程度对医嘱进行干预或警告。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3.6细菌耐药率监控</w:t>
            </w:r>
          </w:p>
          <w:p>
            <w:pPr>
              <w:spacing w:line="400" w:lineRule="exact"/>
              <w:rPr>
                <w:rFonts w:ascii="宋体" w:hAnsi="宋体" w:cs="宋体"/>
              </w:rPr>
            </w:pPr>
            <w:r>
              <w:rPr>
                <w:rFonts w:hint="eastAsia" w:ascii="宋体" w:hAnsi="宋体" w:cs="宋体"/>
              </w:rPr>
              <w:t>医生开具包含抗菌药物的医嘱或处方时，实时提醒处方医嘱中的抗菌药物在本院细菌耐药率及是否超标情，并可根据监测结果的严重程度对医嘱进行干预。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3.7氟喹诺酮用药监控</w:t>
            </w:r>
          </w:p>
          <w:p>
            <w:pPr>
              <w:spacing w:line="400" w:lineRule="exact"/>
              <w:rPr>
                <w:rFonts w:ascii="宋体" w:hAnsi="宋体" w:cs="宋体"/>
              </w:rPr>
            </w:pPr>
            <w:r>
              <w:rPr>
                <w:rFonts w:hint="eastAsia" w:ascii="宋体" w:hAnsi="宋体" w:cs="宋体"/>
              </w:rPr>
              <w:t>医生开具包含氟喹诺酮类药品的医嘱或处方时，按照医院设置的监管要求对医嘱实时进行相应的干预或警告。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★3.8肝功能异常用药监控</w:t>
            </w:r>
          </w:p>
          <w:p>
            <w:pPr>
              <w:spacing w:line="400" w:lineRule="exact"/>
              <w:rPr>
                <w:rFonts w:ascii="宋体" w:hAnsi="宋体" w:cs="宋体"/>
              </w:rPr>
            </w:pPr>
            <w:r>
              <w:rPr>
                <w:rFonts w:hint="eastAsia" w:ascii="宋体" w:hAnsi="宋体" w:cs="宋体"/>
              </w:rPr>
              <w:t>医生开具抗菌药物医嘱或处方时，系统会结合该患者肝功能相关的实时检验指标判断患者的肝功能情况，如患者的肝功能异常，系统会向医生给出警示信息，并由医生提供合理用药理由，如无理由禁止医生使用某些抗菌药物。支持药学部自由配置肝功能对应的检验指标项及正常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★3.9肾功能减退用药剂量推荐</w:t>
            </w:r>
          </w:p>
          <w:p>
            <w:pPr>
              <w:spacing w:line="400" w:lineRule="exact"/>
              <w:rPr>
                <w:rFonts w:ascii="宋体" w:hAnsi="宋体" w:cs="宋体"/>
              </w:rPr>
            </w:pPr>
            <w:r>
              <w:rPr>
                <w:rFonts w:hint="eastAsia" w:ascii="宋体" w:hAnsi="宋体" w:cs="宋体"/>
              </w:rPr>
              <w:t>医生开具抗菌药物医嘱或处方时，系统会结合该患者肾功能相关的实时检验指标判断患者肾功能情况，如患者的肾功能异常，则结合患者的肾功能相关指标判断该患者抗菌药物的用药剂量是否正确。如不正确，则警示医生，并向医生推荐正确的抗菌药物用药剂量。支持药学部自由配置肾功能对应的检验指标项及正常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#3.10低蛋白血症用药剂量监控</w:t>
            </w:r>
          </w:p>
          <w:p>
            <w:pPr>
              <w:spacing w:line="400" w:lineRule="exact"/>
              <w:rPr>
                <w:rFonts w:ascii="宋体" w:hAnsi="宋体" w:cs="宋体"/>
              </w:rPr>
            </w:pPr>
            <w:r>
              <w:rPr>
                <w:rFonts w:hint="eastAsia" w:ascii="宋体" w:hAnsi="宋体" w:cs="宋体"/>
              </w:rPr>
              <w:t>医生为低蛋白血症患者开具高蛋白结合率抗菌药物医嘱或处方时，系统会结合相关的检验指标判断该患者抗菌药物的用药剂量是否超量并警示医生进行剂量调整。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spacing w:line="400" w:lineRule="exact"/>
              <w:rPr>
                <w:rFonts w:cs="Segoe UI Symbol" w:asciiTheme="minorEastAsia" w:hAnsiTheme="minorEastAsia" w:eastAsiaTheme="minorEastAsia"/>
              </w:rPr>
            </w:pPr>
          </w:p>
        </w:tc>
        <w:tc>
          <w:tcPr>
            <w:tcW w:w="7357" w:type="dxa"/>
            <w:vAlign w:val="center"/>
          </w:tcPr>
          <w:p>
            <w:pPr>
              <w:spacing w:line="400" w:lineRule="exact"/>
              <w:rPr>
                <w:rFonts w:ascii="宋体" w:hAnsi="宋体" w:cs="宋体"/>
              </w:rPr>
            </w:pPr>
            <w:r>
              <w:rPr>
                <w:rFonts w:hint="eastAsia" w:ascii="宋体" w:hAnsi="宋体" w:cs="宋体"/>
              </w:rPr>
              <w:t>#3.11抗菌药物TDM管控</w:t>
            </w:r>
          </w:p>
          <w:p>
            <w:pPr>
              <w:spacing w:line="400" w:lineRule="exact"/>
              <w:rPr>
                <w:rFonts w:ascii="宋体" w:hAnsi="宋体" w:cs="宋体"/>
              </w:rPr>
            </w:pPr>
            <w:r>
              <w:rPr>
                <w:rFonts w:hint="eastAsia" w:ascii="宋体" w:hAnsi="宋体" w:cs="宋体"/>
              </w:rPr>
              <w:t>医生开具须进行治疗药物监测（TDM）的抗菌药物时，系统提醒医生须监测患者的血药浓度。如患者用药后未在指定时间内进行血药浓度监测，系统将向医生发送预警信息。支持医院按需自由设置须接受TDM的药品。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restart"/>
            <w:vAlign w:val="center"/>
          </w:tcPr>
          <w:p>
            <w:pPr>
              <w:spacing w:line="400" w:lineRule="exact"/>
              <w:jc w:val="center"/>
              <w:rPr>
                <w:rFonts w:ascii="宋体" w:hAnsi="宋体" w:cs="宋体"/>
              </w:rPr>
            </w:pPr>
            <w:r>
              <w:rPr>
                <w:rFonts w:hint="eastAsia" w:ascii="宋体" w:hAnsi="宋体" w:cs="宋体"/>
              </w:rPr>
              <w:t>4</w:t>
            </w:r>
          </w:p>
        </w:tc>
        <w:tc>
          <w:tcPr>
            <w:tcW w:w="1186" w:type="dxa"/>
            <w:vMerge w:val="restart"/>
            <w:vAlign w:val="center"/>
          </w:tcPr>
          <w:p>
            <w:pPr>
              <w:pStyle w:val="3"/>
              <w:numPr>
                <w:ilvl w:val="1"/>
                <w:numId w:val="0"/>
              </w:numPr>
              <w:tabs>
                <w:tab w:val="left" w:pos="420"/>
              </w:tabs>
              <w:spacing w:line="400" w:lineRule="exact"/>
              <w:rPr>
                <w:rFonts w:ascii="宋体" w:hAnsi="宋体" w:eastAsia="宋体" w:cs="宋体"/>
                <w:b w:val="0"/>
                <w:sz w:val="24"/>
                <w:szCs w:val="24"/>
              </w:rPr>
            </w:pPr>
            <w:r>
              <w:rPr>
                <w:rFonts w:hint="eastAsia" w:ascii="宋体" w:hAnsi="宋体" w:eastAsia="宋体" w:cs="宋体"/>
                <w:b w:val="0"/>
                <w:sz w:val="24"/>
                <w:szCs w:val="24"/>
              </w:rPr>
              <w:t>围术期用药管控</w:t>
            </w:r>
          </w:p>
        </w:tc>
        <w:tc>
          <w:tcPr>
            <w:tcW w:w="7357" w:type="dxa"/>
            <w:vAlign w:val="center"/>
          </w:tcPr>
          <w:p>
            <w:pPr>
              <w:spacing w:line="400" w:lineRule="exact"/>
              <w:rPr>
                <w:rFonts w:ascii="宋体" w:hAnsi="宋体" w:cs="宋体"/>
              </w:rPr>
            </w:pPr>
            <w:r>
              <w:rPr>
                <w:rFonts w:hint="eastAsia" w:ascii="宋体" w:hAnsi="宋体" w:cs="宋体"/>
              </w:rPr>
              <w:t>#4.1预防用药品种管理</w:t>
            </w:r>
          </w:p>
          <w:p>
            <w:pPr>
              <w:spacing w:line="400" w:lineRule="exact"/>
              <w:rPr>
                <w:rFonts w:ascii="宋体" w:hAnsi="宋体" w:cs="宋体"/>
              </w:rPr>
            </w:pPr>
            <w:r>
              <w:rPr>
                <w:rFonts w:hint="eastAsia" w:ascii="宋体" w:hAnsi="宋体" w:cs="宋体"/>
              </w:rPr>
              <w:t>为规范围术期合理使用抗菌药物，可针对不同的手术设置围术期预防用药目录供医生选择。支持根据药品、临床科室、手术等条件进行精细化管控自定义。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★4.2围术期用药申请单</w:t>
            </w:r>
          </w:p>
          <w:p>
            <w:pPr>
              <w:spacing w:line="400" w:lineRule="exact"/>
              <w:rPr>
                <w:rFonts w:ascii="宋体" w:hAnsi="宋体" w:cs="宋体"/>
              </w:rPr>
            </w:pPr>
            <w:r>
              <w:rPr>
                <w:rFonts w:hint="eastAsia" w:ascii="宋体" w:hAnsi="宋体" w:cs="宋体"/>
              </w:rPr>
              <w:t>当医生在开具围术期使用的抗菌药物医嘱之前，须填写围术期抗菌药物使用申请单，选择手术信息及待使用抗菌药物清单。如医生不填写申请单，则无法开具围术期抗菌药物医嘱。支持根据药品、临床科室、手术等条件进行精细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#4.3围术期用药目的管控</w:t>
            </w:r>
          </w:p>
          <w:p>
            <w:pPr>
              <w:spacing w:line="400" w:lineRule="exact"/>
              <w:rPr>
                <w:rFonts w:ascii="宋体" w:hAnsi="宋体" w:cs="宋体"/>
              </w:rPr>
            </w:pPr>
            <w:r>
              <w:rPr>
                <w:rFonts w:hint="eastAsia" w:ascii="宋体" w:hAnsi="宋体" w:cs="宋体"/>
              </w:rPr>
              <w:t>医生在开具围术期使用的抗菌药物医嘱时，系统弹窗要求医生必须选择用药目的是治疗用药还是预防用药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★4.4围术期抗菌药物推荐</w:t>
            </w:r>
          </w:p>
          <w:p>
            <w:pPr>
              <w:spacing w:line="400" w:lineRule="exact"/>
              <w:rPr>
                <w:rFonts w:ascii="宋体" w:hAnsi="宋体" w:cs="宋体"/>
              </w:rPr>
            </w:pPr>
            <w:r>
              <w:rPr>
                <w:rFonts w:hint="eastAsia" w:ascii="宋体" w:hAnsi="宋体" w:cs="宋体"/>
              </w:rPr>
              <w:t>医生开具围术期使用的抗菌药物医嘱时，系统将监控开具的抗菌药物是否在围术期抗菌药物申请单里的药品目录之内。如是开具备选药品，强制医生必须填写用药理由。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★4.5围术期预防用药联用管控</w:t>
            </w:r>
          </w:p>
          <w:p>
            <w:pPr>
              <w:spacing w:line="400" w:lineRule="exact"/>
              <w:rPr>
                <w:rFonts w:ascii="宋体" w:hAnsi="宋体" w:cs="宋体"/>
              </w:rPr>
            </w:pPr>
            <w:r>
              <w:rPr>
                <w:rFonts w:hint="eastAsia" w:ascii="宋体" w:hAnsi="宋体" w:cs="宋体"/>
              </w:rPr>
              <w:t>医生开具围术期抗菌药物医嘱时，系统会结合手术、切口、用药目的等信息来监控医生选择的预防用抗菌药物联用情况是否符合管理规范，并对医嘱进行相应的警示或干预。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★4.6预防用药限临嘱管控</w:t>
            </w:r>
          </w:p>
          <w:p>
            <w:pPr>
              <w:spacing w:line="400" w:lineRule="exact"/>
              <w:rPr>
                <w:rFonts w:ascii="宋体" w:hAnsi="宋体" w:cs="宋体"/>
              </w:rPr>
            </w:pPr>
            <w:r>
              <w:rPr>
                <w:rFonts w:hint="eastAsia" w:ascii="宋体" w:hAnsi="宋体" w:cs="宋体"/>
              </w:rPr>
              <w:t>医生开具围术期抗菌药物医嘱时，如果是预防用药，则系统限定医生只能开具临时医嘱，不能开具长期医嘱，如医生坚持开长期医嘱，系统将强制医生必须填写理由。支持根据临床科室、手术等条件进行精细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★4.7术前预防用药时机管控</w:t>
            </w:r>
          </w:p>
          <w:p>
            <w:pPr>
              <w:spacing w:line="400" w:lineRule="exact"/>
              <w:rPr>
                <w:rFonts w:ascii="宋体" w:hAnsi="宋体" w:cs="宋体"/>
              </w:rPr>
            </w:pPr>
            <w:r>
              <w:rPr>
                <w:rFonts w:hint="eastAsia" w:ascii="宋体" w:hAnsi="宋体" w:cs="宋体"/>
              </w:rPr>
              <w:t>医生在开具抗菌药物术前预防用药医嘱时，系统可结合患者手术、切口等信息监控医嘱是否在合理的术前用药时机下（术前2小时内），并根据监控结果向医生进行警示及干预。支持按科室、手术、切口等条件进行精细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★4.8术后预防用药时机管控</w:t>
            </w:r>
          </w:p>
          <w:p>
            <w:pPr>
              <w:spacing w:line="400" w:lineRule="exact"/>
              <w:rPr>
                <w:rFonts w:ascii="宋体" w:hAnsi="宋体" w:cs="宋体"/>
              </w:rPr>
            </w:pPr>
            <w:r>
              <w:rPr>
                <w:rFonts w:hint="eastAsia" w:ascii="宋体" w:hAnsi="宋体" w:cs="宋体"/>
              </w:rPr>
              <w:t>医生在开具抗菌药物术后预防用药医嘱时，系统可结合患者手术、切口等信息监控是否在合理的术后用药时机下（术后24小时内、术后24~48小时、术后48小时后），并根据监控结果向医生进行警示及干预。支持按科室、手术、切口等条件进行精细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★4.9预防用药限频次管控</w:t>
            </w:r>
          </w:p>
          <w:p>
            <w:pPr>
              <w:spacing w:line="400" w:lineRule="exact"/>
              <w:rPr>
                <w:rFonts w:ascii="宋体" w:hAnsi="宋体" w:cs="宋体"/>
              </w:rPr>
            </w:pPr>
            <w:r>
              <w:rPr>
                <w:rFonts w:hint="eastAsia" w:ascii="宋体" w:hAnsi="宋体" w:cs="宋体"/>
              </w:rPr>
              <w:t>医生在患者术后开具抗菌药物医嘱时，系统可结合手术信息及患者用药信息，判断在术后是否超过规定的单日用药频次，并向医生警示、干预或要求医生填写用药理由。支持按科室、手术、切口等条件进行精细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57" w:type="dxa"/>
            <w:vMerge w:val="restart"/>
            <w:vAlign w:val="center"/>
          </w:tcPr>
          <w:p>
            <w:pPr>
              <w:spacing w:line="400" w:lineRule="exact"/>
              <w:jc w:val="center"/>
              <w:rPr>
                <w:rFonts w:ascii="宋体" w:hAnsi="宋体" w:cs="宋体"/>
              </w:rPr>
            </w:pPr>
            <w:r>
              <w:rPr>
                <w:rFonts w:hint="eastAsia" w:ascii="宋体" w:hAnsi="宋体" w:cs="宋体"/>
              </w:rPr>
              <w:t>5</w:t>
            </w:r>
          </w:p>
        </w:tc>
        <w:tc>
          <w:tcPr>
            <w:tcW w:w="1186" w:type="dxa"/>
            <w:vMerge w:val="restart"/>
            <w:vAlign w:val="center"/>
          </w:tcPr>
          <w:p>
            <w:pPr>
              <w:pStyle w:val="3"/>
              <w:numPr>
                <w:ilvl w:val="1"/>
                <w:numId w:val="0"/>
              </w:numPr>
              <w:tabs>
                <w:tab w:val="left" w:pos="420"/>
              </w:tabs>
              <w:spacing w:line="400" w:lineRule="exact"/>
              <w:jc w:val="center"/>
              <w:rPr>
                <w:rFonts w:ascii="宋体" w:hAnsi="宋体" w:eastAsia="宋体" w:cs="宋体"/>
                <w:b w:val="0"/>
                <w:sz w:val="24"/>
                <w:szCs w:val="24"/>
              </w:rPr>
            </w:pPr>
            <w:r>
              <w:rPr>
                <w:rFonts w:hint="eastAsia" w:ascii="宋体" w:hAnsi="宋体" w:eastAsia="宋体" w:cs="宋体"/>
                <w:b w:val="0"/>
                <w:sz w:val="24"/>
                <w:szCs w:val="24"/>
              </w:rPr>
              <w:t>指标主动监测预警</w:t>
            </w:r>
          </w:p>
        </w:tc>
        <w:tc>
          <w:tcPr>
            <w:tcW w:w="7357" w:type="dxa"/>
            <w:vAlign w:val="center"/>
          </w:tcPr>
          <w:p>
            <w:pPr>
              <w:spacing w:line="400" w:lineRule="exact"/>
              <w:rPr>
                <w:rFonts w:ascii="宋体" w:hAnsi="宋体" w:cs="宋体"/>
              </w:rPr>
            </w:pPr>
            <w:r>
              <w:rPr>
                <w:rFonts w:hint="eastAsia" w:ascii="宋体" w:hAnsi="宋体" w:cs="宋体"/>
              </w:rPr>
              <w:t>#5.1抗菌药物超时用药预警</w:t>
            </w:r>
          </w:p>
          <w:p>
            <w:pPr>
              <w:spacing w:line="400" w:lineRule="exact"/>
              <w:rPr>
                <w:rFonts w:ascii="宋体" w:hAnsi="宋体" w:cs="宋体"/>
              </w:rPr>
            </w:pPr>
            <w:r>
              <w:rPr>
                <w:rFonts w:hint="eastAsia" w:ascii="宋体" w:hAnsi="宋体" w:cs="宋体"/>
              </w:rPr>
              <w:t>患者在抗菌药物用药过程中，对于使用同一种抗菌药物超过用药时长范围后，医生未停止使用该种抗菌药物的，系统将对进行警示提醒。如果医生继续使用该药物时，须提交使用理由。医院可自由维护须管控的抗菌药物品种及用药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★5.2频繁换药预警</w:t>
            </w:r>
          </w:p>
          <w:p>
            <w:pPr>
              <w:spacing w:line="400" w:lineRule="exact"/>
              <w:rPr>
                <w:rFonts w:ascii="宋体" w:hAnsi="宋体" w:cs="宋体"/>
              </w:rPr>
            </w:pPr>
            <w:r>
              <w:rPr>
                <w:rFonts w:hint="eastAsia" w:ascii="宋体" w:hAnsi="宋体" w:cs="宋体"/>
              </w:rPr>
              <w:t>针对抗菌药物在患者使用过程中，如果医生频繁更换抗菌药物使用品种，系统会主动触发预警，提醒医生评估其合理性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★5.3含酶抑制剂疗效评估预警</w:t>
            </w:r>
          </w:p>
          <w:p>
            <w:pPr>
              <w:spacing w:line="400" w:lineRule="exact"/>
              <w:rPr>
                <w:rFonts w:ascii="宋体" w:hAnsi="宋体" w:cs="宋体"/>
              </w:rPr>
            </w:pPr>
            <w:r>
              <w:rPr>
                <w:rFonts w:hint="eastAsia" w:ascii="宋体" w:hAnsi="宋体" w:cs="宋体"/>
              </w:rPr>
              <w:t>医生首次开具含酶抑制剂医嘱时，系统提醒医生在患者用药后指定时间内进行疗效评估。在患者用药后指定天数内如果医生未进行疗效评估，系统会主动触发预警，提醒医生进行疗效评估，如果医生不予评估，系统可对医生进行用药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★5.4血药浓度结果预警</w:t>
            </w:r>
          </w:p>
          <w:p>
            <w:pPr>
              <w:spacing w:line="400" w:lineRule="exact"/>
              <w:rPr>
                <w:rFonts w:ascii="宋体" w:hAnsi="宋体" w:cs="宋体"/>
              </w:rPr>
            </w:pPr>
            <w:r>
              <w:rPr>
                <w:rFonts w:hint="eastAsia" w:ascii="宋体" w:hAnsi="宋体" w:cs="宋体"/>
              </w:rPr>
              <w:t>患者使用了须进行TDM的抗菌药物后，在进行血药浓度测定后如果测定结果不在正常治疗窗范围内，系统实时向医生主动触发预警，提醒医生调整患者的用药方案。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#5.5肝功能监测指标实时预警</w:t>
            </w:r>
          </w:p>
          <w:p>
            <w:pPr>
              <w:spacing w:line="400" w:lineRule="exact"/>
              <w:rPr>
                <w:rFonts w:ascii="宋体" w:hAnsi="宋体" w:cs="宋体"/>
              </w:rPr>
            </w:pPr>
            <w:r>
              <w:rPr>
                <w:rFonts w:hint="eastAsia" w:ascii="宋体" w:hAnsi="宋体" w:cs="宋体"/>
              </w:rPr>
              <w:t>患者在抗菌药物用药过程中，系统实时自动监测患者的肝功能变化情况，如果患者的实时肝功能监测指标发生异常，系统主动触发预警，警示医生是否需要调整用药方案。支持药学部自由配置肝功能对应的检验指标项及正常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★5.6肾功能监测指标实时预警</w:t>
            </w:r>
          </w:p>
          <w:p>
            <w:pPr>
              <w:spacing w:line="400" w:lineRule="exact"/>
              <w:rPr>
                <w:rFonts w:ascii="宋体" w:hAnsi="宋体" w:cs="宋体"/>
              </w:rPr>
            </w:pPr>
            <w:r>
              <w:rPr>
                <w:rFonts w:hint="eastAsia" w:ascii="宋体" w:hAnsi="宋体" w:cs="宋体"/>
              </w:rPr>
              <w:t>患者在抗菌药物用药过程中，系统实时自动监测患者的肾功能变化情况，如果患者的实时肾功能监测指标发生异常，系统主动触发预警，警示医生或药师是否需要调整用药方案。支持药学部自由配置肾功能对应的检验指标项及正常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★5.7抗菌药物使用强度实时预警</w:t>
            </w:r>
          </w:p>
          <w:p>
            <w:pPr>
              <w:spacing w:line="400" w:lineRule="exact"/>
              <w:rPr>
                <w:rFonts w:ascii="宋体" w:hAnsi="宋体" w:cs="宋体"/>
              </w:rPr>
            </w:pPr>
            <w:r>
              <w:rPr>
                <w:rFonts w:hint="eastAsia" w:ascii="宋体" w:hAnsi="宋体" w:cs="宋体"/>
              </w:rPr>
              <w:t>根据抗菌药物临床应用监管政策的要求，系统自动对全院及各科室的抗菌药物使用强度进行动态化实时化监测，当全院或指定科室的使用强度超过监管危急值时，系统自动触发预警，向相关管理者发送使用强度预警信息。支持医院自由设置全院及各临床科室的使用强度危急值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57" w:type="dxa"/>
            <w:vMerge w:val="restart"/>
            <w:vAlign w:val="center"/>
          </w:tcPr>
          <w:p>
            <w:pPr>
              <w:spacing w:line="400" w:lineRule="exact"/>
              <w:jc w:val="center"/>
              <w:rPr>
                <w:rFonts w:ascii="宋体" w:hAnsi="宋体" w:cs="宋体"/>
              </w:rPr>
            </w:pPr>
            <w:r>
              <w:rPr>
                <w:rFonts w:hint="eastAsia" w:ascii="宋体" w:hAnsi="宋体" w:cs="宋体"/>
              </w:rPr>
              <w:t>6</w:t>
            </w:r>
          </w:p>
        </w:tc>
        <w:tc>
          <w:tcPr>
            <w:tcW w:w="1186" w:type="dxa"/>
            <w:vMerge w:val="restart"/>
            <w:vAlign w:val="center"/>
          </w:tcPr>
          <w:p>
            <w:pPr>
              <w:pStyle w:val="3"/>
              <w:numPr>
                <w:ilvl w:val="1"/>
                <w:numId w:val="0"/>
              </w:numPr>
              <w:tabs>
                <w:tab w:val="left" w:pos="420"/>
              </w:tabs>
              <w:spacing w:line="400" w:lineRule="exact"/>
              <w:jc w:val="center"/>
              <w:rPr>
                <w:rFonts w:ascii="宋体" w:hAnsi="宋体" w:eastAsia="宋体" w:cs="宋体"/>
                <w:b w:val="0"/>
                <w:sz w:val="24"/>
                <w:szCs w:val="24"/>
              </w:rPr>
            </w:pPr>
            <w:r>
              <w:rPr>
                <w:rFonts w:hint="eastAsia" w:ascii="宋体" w:hAnsi="宋体" w:eastAsia="宋体" w:cs="宋体"/>
                <w:b w:val="0"/>
                <w:sz w:val="24"/>
                <w:szCs w:val="24"/>
              </w:rPr>
              <w:t>会诊审批</w:t>
            </w:r>
          </w:p>
        </w:tc>
        <w:tc>
          <w:tcPr>
            <w:tcW w:w="7357" w:type="dxa"/>
            <w:vAlign w:val="center"/>
          </w:tcPr>
          <w:p>
            <w:pPr>
              <w:spacing w:line="400" w:lineRule="exact"/>
              <w:rPr>
                <w:rFonts w:ascii="宋体" w:hAnsi="宋体" w:cs="宋体"/>
              </w:rPr>
            </w:pPr>
            <w:r>
              <w:rPr>
                <w:rFonts w:hint="eastAsia" w:ascii="宋体" w:hAnsi="宋体" w:cs="宋体"/>
              </w:rPr>
              <w:t>#6.1医师开具处方及医嘱时，如果开具的抗菌药物触发了挂接会诊审批规则，医生必须填写抗菌药物会诊申请单，经会诊审批通过后，此抗菌药物医嘱才能正常下达。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7" w:type="dxa"/>
            <w:vMerge w:val="continue"/>
            <w:vAlign w:val="center"/>
          </w:tcPr>
          <w:p>
            <w:pPr>
              <w:spacing w:line="400" w:lineRule="exact"/>
              <w:jc w:val="center"/>
              <w:rPr>
                <w:rFonts w:asciiTheme="minorEastAsia" w:hAnsiTheme="minorEastAsia" w:eastAsiaTheme="minorEastAsia"/>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4"/>
                <w:szCs w:val="24"/>
              </w:rPr>
            </w:pPr>
          </w:p>
        </w:tc>
        <w:tc>
          <w:tcPr>
            <w:tcW w:w="7357" w:type="dxa"/>
            <w:vAlign w:val="center"/>
          </w:tcPr>
          <w:p>
            <w:pPr>
              <w:spacing w:line="400" w:lineRule="exact"/>
              <w:rPr>
                <w:rFonts w:ascii="宋体" w:hAnsi="宋体" w:cs="宋体"/>
              </w:rPr>
            </w:pPr>
            <w:r>
              <w:rPr>
                <w:rFonts w:hint="eastAsia" w:ascii="宋体" w:hAnsi="宋体" w:cs="宋体"/>
              </w:rPr>
              <w:t>6.2全部未会诊审批的申请单按申请会诊的科室分类列出，供相关会诊审批人员审核。可按申请日期日期、患者姓名、开嘱医生等条件进行快速查询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7" w:type="dxa"/>
            <w:vMerge w:val="continue"/>
            <w:vAlign w:val="center"/>
          </w:tcPr>
          <w:p>
            <w:pPr>
              <w:spacing w:line="400" w:lineRule="exact"/>
              <w:jc w:val="center"/>
              <w:rPr>
                <w:rFonts w:asciiTheme="minorEastAsia" w:hAnsiTheme="minorEastAsia" w:eastAsiaTheme="minorEastAsia"/>
                <w:szCs w:val="21"/>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1"/>
                <w:szCs w:val="21"/>
              </w:rPr>
            </w:pPr>
          </w:p>
        </w:tc>
        <w:tc>
          <w:tcPr>
            <w:tcW w:w="7357" w:type="dxa"/>
            <w:vAlign w:val="center"/>
          </w:tcPr>
          <w:p>
            <w:pPr>
              <w:spacing w:line="400" w:lineRule="exact"/>
              <w:rPr>
                <w:rFonts w:ascii="宋体" w:hAnsi="宋体" w:cs="宋体"/>
              </w:rPr>
            </w:pPr>
            <w:r>
              <w:rPr>
                <w:rFonts w:hint="eastAsia" w:ascii="宋体" w:hAnsi="宋体" w:cs="宋体"/>
              </w:rPr>
              <w:t>6.3全部未会诊审批的申请单按申请会诊的科室分类列出，供相关会诊审批人员审核。可按申请日期日期、患者姓名、开嘱医生等条件进行快速查询。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7" w:type="dxa"/>
            <w:vMerge w:val="continue"/>
            <w:vAlign w:val="center"/>
          </w:tcPr>
          <w:p>
            <w:pPr>
              <w:spacing w:line="400" w:lineRule="exact"/>
              <w:jc w:val="center"/>
              <w:rPr>
                <w:rFonts w:asciiTheme="minorEastAsia" w:hAnsiTheme="minorEastAsia" w:eastAsiaTheme="minorEastAsia"/>
                <w:szCs w:val="21"/>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1"/>
                <w:szCs w:val="21"/>
              </w:rPr>
            </w:pPr>
          </w:p>
        </w:tc>
        <w:tc>
          <w:tcPr>
            <w:tcW w:w="7357" w:type="dxa"/>
            <w:vAlign w:val="center"/>
          </w:tcPr>
          <w:p>
            <w:pPr>
              <w:spacing w:line="400" w:lineRule="exact"/>
              <w:rPr>
                <w:rFonts w:ascii="宋体" w:hAnsi="宋体" w:cs="宋体"/>
              </w:rPr>
            </w:pPr>
            <w:r>
              <w:rPr>
                <w:rFonts w:hint="eastAsia" w:ascii="宋体" w:hAnsi="宋体" w:cs="宋体"/>
              </w:rPr>
              <w:t>#6.4支持会诊审批人员在进行审批时查看患者的360实时诊疗信息，包括患者基本信息、就诊信息、医嘱信息、体征信息、检验检查报告、手术信息、及该患者的历史就诊信息等。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7" w:type="dxa"/>
            <w:vMerge w:val="continue"/>
            <w:vAlign w:val="center"/>
          </w:tcPr>
          <w:p>
            <w:pPr>
              <w:spacing w:line="400" w:lineRule="exact"/>
              <w:jc w:val="center"/>
              <w:rPr>
                <w:rFonts w:asciiTheme="minorEastAsia" w:hAnsiTheme="minorEastAsia" w:eastAsiaTheme="minorEastAsia"/>
                <w:szCs w:val="21"/>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1"/>
                <w:szCs w:val="21"/>
              </w:rPr>
            </w:pPr>
          </w:p>
        </w:tc>
        <w:tc>
          <w:tcPr>
            <w:tcW w:w="7357" w:type="dxa"/>
            <w:vAlign w:val="center"/>
          </w:tcPr>
          <w:p>
            <w:pPr>
              <w:spacing w:line="400" w:lineRule="exact"/>
              <w:rPr>
                <w:rFonts w:ascii="宋体" w:hAnsi="宋体" w:cs="宋体"/>
              </w:rPr>
            </w:pPr>
            <w:r>
              <w:rPr>
                <w:rFonts w:hint="eastAsia" w:ascii="宋体" w:hAnsi="宋体" w:cs="宋体"/>
              </w:rPr>
              <w:t>★6.5支持根据医院相关制度及管理规范自由配置不同的抗菌药物会诊流程与会诊人员角色，只有会诊通过，医生用药才能得以提交保存。每个会诊触发只能同时挂接一个会诊审批流程，不能同时挂多个会诊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57" w:type="dxa"/>
            <w:vMerge w:val="continue"/>
            <w:vAlign w:val="center"/>
          </w:tcPr>
          <w:p>
            <w:pPr>
              <w:spacing w:line="400" w:lineRule="exact"/>
              <w:jc w:val="center"/>
              <w:rPr>
                <w:rFonts w:asciiTheme="minorEastAsia" w:hAnsiTheme="minorEastAsia" w:eastAsiaTheme="minorEastAsia"/>
                <w:szCs w:val="21"/>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1"/>
                <w:szCs w:val="21"/>
              </w:rPr>
            </w:pPr>
          </w:p>
        </w:tc>
        <w:tc>
          <w:tcPr>
            <w:tcW w:w="7357" w:type="dxa"/>
            <w:vAlign w:val="center"/>
          </w:tcPr>
          <w:p>
            <w:pPr>
              <w:spacing w:line="400" w:lineRule="exact"/>
              <w:rPr>
                <w:rFonts w:ascii="宋体" w:hAnsi="宋体" w:cs="宋体"/>
              </w:rPr>
            </w:pPr>
            <w:r>
              <w:rPr>
                <w:rFonts w:hint="eastAsia" w:ascii="宋体" w:hAnsi="宋体" w:cs="宋体"/>
              </w:rPr>
              <w:t>★6.6支持对任意抗菌药物品种或任意抗菌药物用药监控规则挂接药学会诊审批流程。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57" w:type="dxa"/>
            <w:vMerge w:val="continue"/>
            <w:vAlign w:val="center"/>
          </w:tcPr>
          <w:p>
            <w:pPr>
              <w:spacing w:line="400" w:lineRule="exact"/>
              <w:jc w:val="center"/>
              <w:rPr>
                <w:rFonts w:asciiTheme="minorEastAsia" w:hAnsiTheme="minorEastAsia" w:eastAsiaTheme="minorEastAsia"/>
                <w:szCs w:val="21"/>
              </w:rPr>
            </w:pPr>
          </w:p>
        </w:tc>
        <w:tc>
          <w:tcPr>
            <w:tcW w:w="1186" w:type="dxa"/>
            <w:vMerge w:val="continue"/>
            <w:vAlign w:val="center"/>
          </w:tcPr>
          <w:p>
            <w:pPr>
              <w:pStyle w:val="3"/>
              <w:numPr>
                <w:ilvl w:val="1"/>
                <w:numId w:val="0"/>
              </w:numPr>
              <w:tabs>
                <w:tab w:val="left" w:pos="420"/>
              </w:tabs>
              <w:spacing w:line="400" w:lineRule="exact"/>
              <w:rPr>
                <w:rFonts w:ascii="宋体" w:hAnsi="宋体" w:cs="宋体"/>
                <w:sz w:val="21"/>
                <w:szCs w:val="21"/>
              </w:rPr>
            </w:pPr>
          </w:p>
        </w:tc>
        <w:tc>
          <w:tcPr>
            <w:tcW w:w="7357" w:type="dxa"/>
            <w:vAlign w:val="center"/>
          </w:tcPr>
          <w:p>
            <w:pPr>
              <w:spacing w:line="400" w:lineRule="exact"/>
              <w:rPr>
                <w:rFonts w:ascii="宋体" w:hAnsi="宋体" w:cs="宋体"/>
              </w:rPr>
            </w:pPr>
            <w:r>
              <w:rPr>
                <w:rFonts w:hint="eastAsia" w:ascii="宋体" w:hAnsi="宋体" w:cs="宋体"/>
              </w:rPr>
              <w:t>★6.7支持对指定搜索条件下的会诊申请单及审批结果进行查询，可以查看过去的全部已经完成会诊审批流程的申请单。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atLeast"/>
        </w:trPr>
        <w:tc>
          <w:tcPr>
            <w:tcW w:w="757" w:type="dxa"/>
            <w:vAlign w:val="center"/>
          </w:tcPr>
          <w:p>
            <w:pPr>
              <w:spacing w:line="400" w:lineRule="exact"/>
              <w:jc w:val="center"/>
              <w:rPr>
                <w:rFonts w:ascii="宋体" w:hAnsi="宋体" w:cs="宋体"/>
              </w:rPr>
            </w:pPr>
            <w:r>
              <w:rPr>
                <w:rFonts w:hint="eastAsia" w:ascii="宋体" w:hAnsi="宋体" w:cs="宋体"/>
              </w:rPr>
              <w:t>7</w:t>
            </w:r>
          </w:p>
        </w:tc>
        <w:tc>
          <w:tcPr>
            <w:tcW w:w="1186" w:type="dxa"/>
            <w:vAlign w:val="center"/>
          </w:tcPr>
          <w:p>
            <w:pPr>
              <w:pStyle w:val="3"/>
              <w:numPr>
                <w:ilvl w:val="1"/>
                <w:numId w:val="0"/>
              </w:numPr>
              <w:tabs>
                <w:tab w:val="left" w:pos="420"/>
              </w:tabs>
              <w:spacing w:line="400" w:lineRule="exact"/>
              <w:jc w:val="center"/>
              <w:rPr>
                <w:rFonts w:ascii="宋体" w:hAnsi="宋体" w:eastAsia="宋体" w:cs="宋体"/>
                <w:b w:val="0"/>
                <w:sz w:val="24"/>
                <w:szCs w:val="24"/>
              </w:rPr>
            </w:pPr>
            <w:r>
              <w:rPr>
                <w:rFonts w:hint="eastAsia" w:ascii="宋体" w:hAnsi="宋体" w:eastAsia="宋体" w:cs="宋体"/>
                <w:b w:val="0"/>
                <w:sz w:val="24"/>
                <w:szCs w:val="24"/>
              </w:rPr>
              <w:t>其他</w:t>
            </w:r>
          </w:p>
        </w:tc>
        <w:tc>
          <w:tcPr>
            <w:tcW w:w="7357" w:type="dxa"/>
            <w:vAlign w:val="center"/>
          </w:tcPr>
          <w:p>
            <w:pPr>
              <w:spacing w:line="400" w:lineRule="exact"/>
              <w:rPr>
                <w:rFonts w:ascii="宋体" w:hAnsi="宋体" w:cs="宋体"/>
              </w:rPr>
            </w:pPr>
            <w:r>
              <w:rPr>
                <w:rFonts w:hint="eastAsia" w:ascii="宋体" w:hAnsi="宋体" w:cs="宋体"/>
              </w:rPr>
              <w:t>★达到电子病历评级五级，互联互通四级甲等。</w:t>
            </w:r>
          </w:p>
          <w:p>
            <w:pPr>
              <w:spacing w:line="400" w:lineRule="exact"/>
              <w:rPr>
                <w:rFonts w:ascii="宋体" w:hAnsi="宋体" w:cs="宋体"/>
              </w:rPr>
            </w:pPr>
            <w:r>
              <w:rPr>
                <w:rFonts w:hint="eastAsia" w:ascii="宋体" w:hAnsi="宋体" w:cs="宋体"/>
              </w:rPr>
              <w:t>★硬件质保3年，软件维保1年</w:t>
            </w:r>
          </w:p>
          <w:p>
            <w:pPr>
              <w:spacing w:line="400" w:lineRule="exact"/>
              <w:rPr>
                <w:rFonts w:ascii="宋体" w:hAnsi="宋体" w:cs="宋体"/>
              </w:rPr>
            </w:pPr>
            <w:r>
              <w:rPr>
                <w:rFonts w:hint="eastAsia" w:ascii="宋体" w:hAnsi="宋体" w:cs="宋体"/>
              </w:rPr>
              <w:t>★合同签订后90个自然日交付。</w:t>
            </w:r>
          </w:p>
          <w:p>
            <w:pPr>
              <w:spacing w:line="400" w:lineRule="exact"/>
              <w:rPr>
                <w:rFonts w:ascii="宋体" w:hAnsi="宋体" w:cs="宋体"/>
              </w:rPr>
            </w:pPr>
            <w:r>
              <w:rPr>
                <w:rFonts w:hint="eastAsia" w:ascii="宋体" w:hAnsi="宋体" w:cs="宋体"/>
              </w:rPr>
              <w:t>★提供系统数据结构手册、维护手册。</w:t>
            </w:r>
          </w:p>
          <w:p>
            <w:pPr>
              <w:spacing w:line="400" w:lineRule="exact"/>
              <w:rPr>
                <w:rFonts w:ascii="宋体" w:hAnsi="宋体" w:cs="宋体"/>
              </w:rPr>
            </w:pPr>
            <w:r>
              <w:rPr>
                <w:rFonts w:hint="eastAsia" w:ascii="宋体" w:hAnsi="宋体" w:cs="宋体"/>
              </w:rPr>
              <w:t>＃提供3家三甲医院应用证明。</w:t>
            </w:r>
          </w:p>
        </w:tc>
      </w:tr>
    </w:tbl>
    <w:p>
      <w:pPr>
        <w:rPr>
          <w:rFonts w:hint="default"/>
          <w:lang w:val="en-US" w:eastAsia="zh-CN"/>
        </w:rPr>
      </w:pPr>
    </w:p>
    <w:p>
      <w:pPr>
        <w:rPr>
          <w:rFonts w:hint="default"/>
          <w:lang w:val="en-US" w:eastAsia="zh-CN"/>
        </w:rPr>
      </w:pPr>
      <w:r>
        <w:rPr>
          <w:rFonts w:hint="default"/>
          <w:lang w:val="en-US" w:eastAsia="zh-CN"/>
        </w:rPr>
        <w:br w:type="page"/>
      </w:r>
    </w:p>
    <w:p>
      <w:pPr>
        <w:rPr>
          <w:rFonts w:ascii="Arial" w:hAnsi="Arial" w:cs="Arial"/>
          <w:b/>
          <w:color w:val="000000" w:themeColor="text1"/>
          <w14:textFill>
            <w14:solidFill>
              <w14:schemeClr w14:val="tx1"/>
            </w14:solidFill>
          </w14:textFill>
        </w:rPr>
      </w:pPr>
      <w:r>
        <w:rPr>
          <w:rFonts w:hint="eastAsia"/>
          <w:lang w:val="en-US" w:eastAsia="zh-CN"/>
        </w:rPr>
        <w:t>3</w:t>
      </w:r>
      <w:bookmarkStart w:id="0" w:name="_GoBack"/>
      <w:bookmarkEnd w:id="0"/>
      <w:r>
        <w:rPr>
          <w:rFonts w:hint="eastAsia"/>
          <w:lang w:val="en-US" w:eastAsia="zh-CN"/>
        </w:rPr>
        <w:t>、</w:t>
      </w:r>
      <w:r>
        <w:rPr>
          <w:rFonts w:hint="eastAsia" w:ascii="宋体" w:hAnsi="宋体" w:cs="宋体"/>
          <w:color w:val="000000"/>
          <w:sz w:val="21"/>
          <w:szCs w:val="21"/>
          <w:lang w:bidi="ar"/>
        </w:rPr>
        <w:t>2022-JKMTDY-W1070</w:t>
      </w:r>
    </w:p>
    <w:tbl>
      <w:tblPr>
        <w:tblStyle w:val="6"/>
        <w:tblW w:w="9338" w:type="dxa"/>
        <w:tblInd w:w="10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71"/>
        <w:gridCol w:w="1286"/>
        <w:gridCol w:w="1114"/>
        <w:gridCol w:w="1522"/>
        <w:gridCol w:w="464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7" w:hRule="atLeast"/>
        </w:trPr>
        <w:tc>
          <w:tcPr>
            <w:tcW w:w="2057" w:type="dxa"/>
            <w:gridSpan w:val="2"/>
            <w:tcBorders>
              <w:bottom w:val="single" w:color="auto" w:sz="4" w:space="0"/>
              <w:right w:val="single" w:color="auto" w:sz="4" w:space="0"/>
            </w:tcBorders>
            <w:shd w:val="clear" w:color="auto" w:fill="auto"/>
            <w:vAlign w:val="center"/>
          </w:tcPr>
          <w:p>
            <w:pPr>
              <w:widowControl/>
              <w:snapToGrid w:val="0"/>
              <w:spacing w:line="400" w:lineRule="exact"/>
              <w:jc w:val="center"/>
              <w:rPr>
                <w:rFonts w:ascii="宋体" w:hAnsi="宋体" w:cs="宋体"/>
                <w:b/>
                <w:bCs/>
                <w:color w:val="000000"/>
              </w:rPr>
            </w:pPr>
            <w:r>
              <w:rPr>
                <w:rFonts w:hint="eastAsia" w:ascii="宋体" w:hAnsi="宋体" w:cs="宋体"/>
              </w:rPr>
              <w:t>项目名称</w:t>
            </w:r>
          </w:p>
        </w:tc>
        <w:tc>
          <w:tcPr>
            <w:tcW w:w="7281" w:type="dxa"/>
            <w:gridSpan w:val="3"/>
            <w:tcBorders>
              <w:left w:val="single" w:color="auto" w:sz="4" w:space="0"/>
              <w:bottom w:val="single" w:color="auto" w:sz="4" w:space="0"/>
            </w:tcBorders>
            <w:shd w:val="clear" w:color="auto" w:fill="auto"/>
            <w:vAlign w:val="center"/>
          </w:tcPr>
          <w:p>
            <w:pPr>
              <w:widowControl/>
              <w:snapToGrid w:val="0"/>
              <w:spacing w:line="400" w:lineRule="exact"/>
              <w:ind w:right="-1459" w:rightChars="-695" w:firstLine="1897" w:firstLineChars="900"/>
              <w:rPr>
                <w:rFonts w:ascii="宋体" w:hAnsi="宋体" w:cs="宋体"/>
                <w:b/>
                <w:bCs/>
                <w:color w:val="000000"/>
              </w:rPr>
            </w:pPr>
            <w:r>
              <w:rPr>
                <w:rFonts w:hint="eastAsia" w:ascii="宋体" w:hAnsi="宋体" w:cs="宋体"/>
                <w:b/>
                <w:bCs/>
                <w:color w:val="000000"/>
                <w:lang w:val="zh-CN"/>
              </w:rPr>
              <w:t>医疗队药材保障信息化系统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4" w:hRule="atLeast"/>
        </w:trPr>
        <w:tc>
          <w:tcPr>
            <w:tcW w:w="2057" w:type="dxa"/>
            <w:gridSpan w:val="2"/>
            <w:tcBorders>
              <w:bottom w:val="single" w:color="auto" w:sz="4" w:space="0"/>
              <w:right w:val="single" w:color="auto" w:sz="4" w:space="0"/>
            </w:tcBorders>
            <w:shd w:val="clear" w:color="auto" w:fill="auto"/>
            <w:vAlign w:val="center"/>
          </w:tcPr>
          <w:p>
            <w:pPr>
              <w:widowControl/>
              <w:snapToGrid w:val="0"/>
              <w:spacing w:line="400" w:lineRule="exact"/>
              <w:jc w:val="center"/>
              <w:rPr>
                <w:rFonts w:ascii="宋体" w:hAnsi="宋体" w:cs="宋体"/>
                <w:b/>
                <w:bCs/>
                <w:color w:val="000000"/>
              </w:rPr>
            </w:pPr>
            <w:r>
              <w:rPr>
                <w:rFonts w:hint="eastAsia" w:ascii="宋体" w:hAnsi="宋体" w:cs="宋体"/>
              </w:rPr>
              <w:t>项目编号</w:t>
            </w:r>
          </w:p>
        </w:tc>
        <w:tc>
          <w:tcPr>
            <w:tcW w:w="7281" w:type="dxa"/>
            <w:gridSpan w:val="3"/>
            <w:tcBorders>
              <w:left w:val="single" w:color="auto" w:sz="4" w:space="0"/>
              <w:bottom w:val="single" w:color="auto" w:sz="4" w:space="0"/>
            </w:tcBorders>
            <w:shd w:val="clear" w:color="auto" w:fill="auto"/>
            <w:vAlign w:val="center"/>
          </w:tcPr>
          <w:p>
            <w:pPr>
              <w:widowControl/>
              <w:snapToGrid w:val="0"/>
              <w:spacing w:line="400" w:lineRule="exact"/>
              <w:ind w:right="-1459" w:rightChars="-695" w:firstLine="1890" w:firstLineChars="900"/>
              <w:rPr>
                <w:rFonts w:ascii="宋体" w:hAnsi="宋体" w:cs="宋体"/>
                <w:b/>
                <w:bCs/>
                <w:color w:val="000000"/>
              </w:rPr>
            </w:pPr>
            <w:r>
              <w:rPr>
                <w:rFonts w:hint="eastAsia" w:ascii="宋体" w:hAnsi="宋体" w:cs="宋体"/>
                <w:color w:val="000000"/>
                <w:lang w:bidi="ar"/>
              </w:rPr>
              <w:t>2022-JKMTDY-W1070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0" w:hRule="atLeast"/>
        </w:trPr>
        <w:tc>
          <w:tcPr>
            <w:tcW w:w="2057" w:type="dxa"/>
            <w:gridSpan w:val="2"/>
            <w:tcBorders>
              <w:bottom w:val="single" w:color="auto" w:sz="4" w:space="0"/>
              <w:right w:val="single" w:color="auto" w:sz="4" w:space="0"/>
            </w:tcBorders>
            <w:shd w:val="clear" w:color="auto" w:fill="auto"/>
            <w:vAlign w:val="center"/>
          </w:tcPr>
          <w:p>
            <w:pPr>
              <w:widowControl/>
              <w:snapToGrid w:val="0"/>
              <w:spacing w:line="400" w:lineRule="exact"/>
              <w:jc w:val="center"/>
              <w:rPr>
                <w:rFonts w:ascii="宋体" w:hAnsi="宋体" w:cs="宋体"/>
                <w:b/>
                <w:bCs/>
                <w:color w:val="000000"/>
              </w:rPr>
            </w:pPr>
            <w:r>
              <w:rPr>
                <w:rFonts w:hint="eastAsia" w:ascii="宋体" w:hAnsi="宋体" w:cs="宋体"/>
                <w:color w:val="000000"/>
              </w:rPr>
              <w:t>是否进口</w:t>
            </w:r>
          </w:p>
        </w:tc>
        <w:tc>
          <w:tcPr>
            <w:tcW w:w="7281" w:type="dxa"/>
            <w:gridSpan w:val="3"/>
            <w:tcBorders>
              <w:left w:val="single" w:color="auto" w:sz="4" w:space="0"/>
              <w:bottom w:val="single" w:color="auto" w:sz="4" w:space="0"/>
            </w:tcBorders>
            <w:shd w:val="clear" w:color="auto" w:fill="auto"/>
            <w:vAlign w:val="center"/>
          </w:tcPr>
          <w:p>
            <w:pPr>
              <w:widowControl/>
              <w:snapToGrid w:val="0"/>
              <w:spacing w:line="400" w:lineRule="exact"/>
              <w:ind w:right="-1459" w:rightChars="-695" w:firstLine="1890" w:firstLineChars="900"/>
              <w:rPr>
                <w:rFonts w:ascii="宋体" w:hAnsi="宋体" w:cs="宋体"/>
                <w:b/>
                <w:bCs/>
                <w:color w:val="000000"/>
              </w:rPr>
            </w:pPr>
            <w:r>
              <w:rPr>
                <w:rFonts w:hint="eastAsia" w:ascii="宋体" w:hAnsi="宋体" w:cs="宋体"/>
                <w:color w:val="000000"/>
              </w:rPr>
              <w:t>■国产□进口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9" w:hRule="atLeast"/>
        </w:trPr>
        <w:tc>
          <w:tcPr>
            <w:tcW w:w="2057" w:type="dxa"/>
            <w:gridSpan w:val="2"/>
            <w:tcBorders>
              <w:bottom w:val="single" w:color="auto" w:sz="4" w:space="0"/>
              <w:right w:val="single" w:color="auto" w:sz="4" w:space="0"/>
            </w:tcBorders>
            <w:shd w:val="clear" w:color="auto" w:fill="auto"/>
            <w:vAlign w:val="center"/>
          </w:tcPr>
          <w:p>
            <w:pPr>
              <w:widowControl/>
              <w:snapToGrid w:val="0"/>
              <w:spacing w:line="400" w:lineRule="exact"/>
              <w:jc w:val="center"/>
              <w:rPr>
                <w:rFonts w:ascii="宋体" w:hAnsi="宋体" w:cs="宋体"/>
                <w:b/>
                <w:bCs/>
                <w:color w:val="000000"/>
              </w:rPr>
            </w:pPr>
            <w:r>
              <w:rPr>
                <w:rFonts w:hint="eastAsia" w:ascii="宋体" w:hAnsi="宋体" w:cs="宋体"/>
              </w:rPr>
              <w:t>预算总价（元）</w:t>
            </w:r>
          </w:p>
        </w:tc>
        <w:tc>
          <w:tcPr>
            <w:tcW w:w="7281" w:type="dxa"/>
            <w:gridSpan w:val="3"/>
            <w:tcBorders>
              <w:left w:val="single" w:color="auto" w:sz="4" w:space="0"/>
              <w:bottom w:val="single" w:color="auto" w:sz="4" w:space="0"/>
            </w:tcBorders>
            <w:shd w:val="clear" w:color="auto" w:fill="auto"/>
            <w:vAlign w:val="center"/>
          </w:tcPr>
          <w:p>
            <w:pPr>
              <w:widowControl/>
              <w:snapToGrid w:val="0"/>
              <w:spacing w:line="400" w:lineRule="exact"/>
              <w:ind w:right="-1459" w:rightChars="-695" w:firstLine="1890" w:firstLineChars="900"/>
              <w:rPr>
                <w:rFonts w:ascii="宋体" w:hAnsi="宋体" w:cs="宋体"/>
                <w:b/>
                <w:bCs/>
                <w:color w:val="000000"/>
              </w:rPr>
            </w:pPr>
            <w:r>
              <w:rPr>
                <w:rFonts w:hint="eastAsia" w:ascii="宋体" w:hAnsi="宋体" w:cs="宋体"/>
              </w:rPr>
              <w:t>460000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6" w:hRule="atLeast"/>
        </w:trPr>
        <w:tc>
          <w:tcPr>
            <w:tcW w:w="771" w:type="dxa"/>
            <w:tcBorders>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color w:val="000000"/>
              </w:rPr>
            </w:pPr>
            <w:r>
              <w:rPr>
                <w:rFonts w:hint="eastAsia" w:ascii="宋体" w:hAnsi="宋体" w:cs="宋体"/>
                <w:b/>
                <w:bCs/>
                <w:color w:val="000000"/>
              </w:rPr>
              <w:t>序号</w:t>
            </w:r>
          </w:p>
        </w:tc>
        <w:tc>
          <w:tcPr>
            <w:tcW w:w="1286" w:type="dxa"/>
            <w:tcBorders>
              <w:left w:val="nil"/>
              <w:bottom w:val="single" w:color="auto" w:sz="4" w:space="0"/>
              <w:right w:val="single" w:color="auto" w:sz="4" w:space="0"/>
            </w:tcBorders>
            <w:vAlign w:val="center"/>
          </w:tcPr>
          <w:p>
            <w:pPr>
              <w:spacing w:line="400" w:lineRule="exact"/>
              <w:jc w:val="center"/>
              <w:rPr>
                <w:rFonts w:ascii="宋体" w:hAnsi="宋体" w:cs="宋体"/>
                <w:b/>
                <w:bCs/>
                <w:color w:val="000000"/>
              </w:rPr>
            </w:pPr>
            <w:r>
              <w:rPr>
                <w:rFonts w:hint="eastAsia" w:ascii="宋体" w:hAnsi="宋体" w:cs="宋体"/>
                <w:b/>
                <w:bCs/>
                <w:color w:val="000000"/>
              </w:rPr>
              <w:t>指标名称</w:t>
            </w:r>
          </w:p>
        </w:tc>
        <w:tc>
          <w:tcPr>
            <w:tcW w:w="1114" w:type="dxa"/>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
                <w:bCs/>
                <w:color w:val="000000"/>
              </w:rPr>
            </w:pPr>
            <w:r>
              <w:rPr>
                <w:rFonts w:hint="eastAsia" w:ascii="宋体" w:hAnsi="宋体" w:cs="宋体"/>
                <w:b/>
                <w:bCs/>
                <w:color w:val="000000"/>
              </w:rPr>
              <w:t>数量</w:t>
            </w:r>
          </w:p>
        </w:tc>
        <w:tc>
          <w:tcPr>
            <w:tcW w:w="6167" w:type="dxa"/>
            <w:gridSpan w:val="2"/>
            <w:tcBorders>
              <w:left w:val="nil"/>
              <w:bottom w:val="single" w:color="auto" w:sz="4" w:space="0"/>
            </w:tcBorders>
            <w:shd w:val="clear" w:color="auto" w:fill="auto"/>
            <w:vAlign w:val="center"/>
          </w:tcPr>
          <w:p>
            <w:pPr>
              <w:widowControl/>
              <w:spacing w:line="400" w:lineRule="exact"/>
              <w:jc w:val="center"/>
              <w:rPr>
                <w:rFonts w:ascii="宋体" w:hAnsi="宋体" w:cs="宋体"/>
                <w:b/>
                <w:bCs/>
                <w:color w:val="000000"/>
              </w:rPr>
            </w:pPr>
            <w:r>
              <w:rPr>
                <w:rFonts w:hint="eastAsia" w:ascii="宋体" w:hAnsi="宋体" w:cs="宋体"/>
                <w:b/>
                <w:bCs/>
                <w:color w:val="000000"/>
              </w:rPr>
              <w:t>技术参数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72" w:hRule="atLeast"/>
        </w:trPr>
        <w:tc>
          <w:tcPr>
            <w:tcW w:w="771" w:type="dxa"/>
            <w:vMerge w:val="restart"/>
            <w:tcBorders>
              <w:top w:val="single" w:color="auto" w:sz="4" w:space="0"/>
              <w:right w:val="single" w:color="auto" w:sz="4" w:space="0"/>
            </w:tcBorders>
            <w:shd w:val="clear" w:color="auto" w:fill="auto"/>
            <w:vAlign w:val="center"/>
          </w:tcPr>
          <w:p>
            <w:pPr>
              <w:widowControl/>
              <w:spacing w:line="400" w:lineRule="exact"/>
              <w:jc w:val="center"/>
              <w:rPr>
                <w:rFonts w:ascii="宋体" w:hAnsi="宋体" w:cs="宋体"/>
                <w:b/>
                <w:bCs/>
                <w:color w:val="000000"/>
              </w:rPr>
            </w:pPr>
            <w:r>
              <w:rPr>
                <w:rFonts w:hint="eastAsia" w:ascii="宋体" w:hAnsi="宋体" w:cs="宋体"/>
                <w:b/>
                <w:bCs/>
                <w:color w:val="000000"/>
              </w:rPr>
              <w:t>1</w:t>
            </w:r>
          </w:p>
        </w:tc>
        <w:tc>
          <w:tcPr>
            <w:tcW w:w="1286" w:type="dxa"/>
            <w:vMerge w:val="restart"/>
            <w:tcBorders>
              <w:top w:val="single" w:color="auto" w:sz="4" w:space="0"/>
              <w:left w:val="nil"/>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硬件</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rPr>
                <w:rFonts w:hint="eastAsia" w:ascii="宋体" w:hAnsi="宋体" w:cs="宋体"/>
                <w:color w:val="000000"/>
              </w:rPr>
              <w:t>1台</w:t>
            </w:r>
          </w:p>
        </w:tc>
        <w:tc>
          <w:tcPr>
            <w:tcW w:w="6167" w:type="dxa"/>
            <w:gridSpan w:val="2"/>
            <w:tcBorders>
              <w:top w:val="single" w:color="auto" w:sz="4" w:space="0"/>
              <w:left w:val="nil"/>
              <w:bottom w:val="single" w:color="auto" w:sz="4" w:space="0"/>
            </w:tcBorders>
            <w:shd w:val="clear" w:color="auto" w:fill="auto"/>
            <w:vAlign w:val="center"/>
          </w:tcPr>
          <w:p>
            <w:pPr>
              <w:pStyle w:val="9"/>
              <w:spacing w:line="400" w:lineRule="exact"/>
              <w:ind w:firstLine="0" w:firstLineChars="0"/>
              <w:jc w:val="left"/>
              <w:rPr>
                <w:rFonts w:ascii="宋体" w:hAnsi="宋体"/>
                <w:sz w:val="24"/>
                <w:szCs w:val="24"/>
              </w:rPr>
            </w:pPr>
            <w:r>
              <w:rPr>
                <w:rFonts w:hint="eastAsia" w:ascii="宋体" w:hAnsi="宋体" w:cs="宋体"/>
                <w:color w:val="000000"/>
                <w:kern w:val="0"/>
                <w:sz w:val="24"/>
                <w:szCs w:val="24"/>
              </w:rPr>
              <w:t>国产品牌服务器：</w:t>
            </w:r>
          </w:p>
          <w:p>
            <w:pPr>
              <w:pStyle w:val="9"/>
              <w:spacing w:line="400" w:lineRule="exact"/>
              <w:ind w:firstLine="0" w:firstLineChars="0"/>
              <w:jc w:val="left"/>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w:t>
            </w:r>
            <w:r>
              <w:rPr>
                <w:rFonts w:ascii="宋体" w:hAnsi="宋体"/>
                <w:sz w:val="24"/>
                <w:szCs w:val="24"/>
              </w:rPr>
              <w:t>处理器</w:t>
            </w:r>
            <w:r>
              <w:rPr>
                <w:rFonts w:hint="eastAsia" w:ascii="宋体" w:hAnsi="宋体"/>
                <w:sz w:val="24"/>
                <w:szCs w:val="24"/>
              </w:rPr>
              <w:t>：</w:t>
            </w:r>
            <w:r>
              <w:rPr>
                <w:rFonts w:ascii="宋体" w:hAnsi="宋体"/>
                <w:sz w:val="24"/>
                <w:szCs w:val="24"/>
              </w:rPr>
              <w:t>英特尔至强</w:t>
            </w:r>
            <w:r>
              <w:rPr>
                <w:rFonts w:hint="eastAsia" w:ascii="宋体" w:hAnsi="宋体"/>
                <w:sz w:val="24"/>
                <w:szCs w:val="24"/>
              </w:rPr>
              <w:t>≥6核，主频≥</w:t>
            </w:r>
            <w:r>
              <w:rPr>
                <w:rFonts w:ascii="宋体" w:hAnsi="宋体"/>
                <w:sz w:val="24"/>
                <w:szCs w:val="24"/>
              </w:rPr>
              <w:t>1.9GHz</w:t>
            </w:r>
            <w:r>
              <w:rPr>
                <w:rFonts w:hint="eastAsia" w:ascii="宋体" w:hAnsi="宋体"/>
                <w:sz w:val="24"/>
                <w:szCs w:val="24"/>
              </w:rPr>
              <w:t>，数量≥2颗；</w:t>
            </w:r>
          </w:p>
          <w:p>
            <w:pPr>
              <w:pStyle w:val="9"/>
              <w:spacing w:line="400" w:lineRule="exact"/>
              <w:ind w:firstLine="0" w:firstLineChars="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w:t>
            </w:r>
            <w:r>
              <w:rPr>
                <w:rFonts w:ascii="宋体" w:hAnsi="宋体"/>
                <w:sz w:val="24"/>
                <w:szCs w:val="24"/>
              </w:rPr>
              <w:t>内存</w:t>
            </w:r>
            <w:r>
              <w:rPr>
                <w:rFonts w:hint="eastAsia" w:ascii="宋体" w:hAnsi="宋体"/>
                <w:sz w:val="24"/>
                <w:szCs w:val="24"/>
              </w:rPr>
              <w:t>：</w:t>
            </w:r>
            <w:r>
              <w:rPr>
                <w:rFonts w:ascii="宋体" w:hAnsi="宋体"/>
                <w:sz w:val="24"/>
                <w:szCs w:val="24"/>
              </w:rPr>
              <w:t xml:space="preserve">内存容量≥32GB，最大可扩展192GB </w:t>
            </w:r>
            <w:r>
              <w:rPr>
                <w:rFonts w:hint="eastAsia" w:ascii="宋体" w:hAnsi="宋体"/>
                <w:sz w:val="24"/>
                <w:szCs w:val="24"/>
              </w:rPr>
              <w:t>；</w:t>
            </w:r>
          </w:p>
          <w:p>
            <w:pPr>
              <w:pStyle w:val="9"/>
              <w:spacing w:line="400" w:lineRule="exact"/>
              <w:ind w:firstLine="0" w:firstLineChars="0"/>
              <w:jc w:val="left"/>
              <w:rPr>
                <w:rFonts w:ascii="宋体" w:hAnsi="宋体"/>
                <w:sz w:val="24"/>
                <w:szCs w:val="24"/>
              </w:rPr>
            </w:pPr>
            <w:r>
              <w:rPr>
                <w:rFonts w:hint="eastAsia" w:ascii="宋体" w:hAnsi="宋体"/>
                <w:sz w:val="24"/>
                <w:szCs w:val="24"/>
              </w:rPr>
              <w:t>3</w:t>
            </w:r>
            <w:r>
              <w:rPr>
                <w:rFonts w:ascii="宋体" w:hAnsi="宋体"/>
                <w:sz w:val="24"/>
                <w:szCs w:val="24"/>
              </w:rPr>
              <w:t>、RAID</w:t>
            </w:r>
            <w:r>
              <w:rPr>
                <w:rFonts w:hint="eastAsia" w:ascii="宋体" w:hAnsi="宋体"/>
                <w:sz w:val="24"/>
                <w:szCs w:val="24"/>
              </w:rPr>
              <w:t>：</w:t>
            </w:r>
            <w:r>
              <w:rPr>
                <w:rFonts w:ascii="宋体" w:hAnsi="宋体"/>
                <w:sz w:val="24"/>
                <w:szCs w:val="24"/>
              </w:rPr>
              <w:t>板载阵列卡，支持Raid 0/1/5</w:t>
            </w:r>
            <w:r>
              <w:rPr>
                <w:rFonts w:hint="eastAsia" w:ascii="宋体" w:hAnsi="宋体"/>
                <w:sz w:val="24"/>
                <w:szCs w:val="24"/>
              </w:rPr>
              <w:t>；</w:t>
            </w:r>
          </w:p>
          <w:p>
            <w:pPr>
              <w:pStyle w:val="9"/>
              <w:spacing w:line="400" w:lineRule="exact"/>
              <w:ind w:firstLine="0" w:firstLineChars="0"/>
              <w:jc w:val="left"/>
              <w:rPr>
                <w:rFonts w:ascii="宋体" w:hAnsi="宋体"/>
                <w:sz w:val="24"/>
                <w:szCs w:val="24"/>
              </w:rPr>
            </w:pPr>
            <w:r>
              <w:rPr>
                <w:rFonts w:hint="eastAsia" w:ascii="宋体" w:hAnsi="宋体"/>
                <w:sz w:val="24"/>
                <w:szCs w:val="24"/>
              </w:rPr>
              <w:t>4</w:t>
            </w:r>
            <w:r>
              <w:rPr>
                <w:rFonts w:ascii="宋体" w:hAnsi="宋体"/>
                <w:sz w:val="24"/>
                <w:szCs w:val="24"/>
              </w:rPr>
              <w:t>、存储</w:t>
            </w:r>
            <w:r>
              <w:rPr>
                <w:rFonts w:hint="eastAsia" w:ascii="宋体" w:hAnsi="宋体"/>
                <w:sz w:val="24"/>
                <w:szCs w:val="24"/>
              </w:rPr>
              <w:t>：机械硬盘2</w:t>
            </w:r>
            <w:r>
              <w:rPr>
                <w:rFonts w:ascii="宋体" w:hAnsi="宋体"/>
                <w:sz w:val="24"/>
                <w:szCs w:val="24"/>
              </w:rPr>
              <w:t xml:space="preserve">TB≥2；   </w:t>
            </w:r>
          </w:p>
          <w:p>
            <w:pPr>
              <w:pStyle w:val="9"/>
              <w:spacing w:line="400" w:lineRule="exact"/>
              <w:ind w:firstLine="0" w:firstLineChars="0"/>
              <w:jc w:val="left"/>
              <w:rPr>
                <w:rFonts w:ascii="宋体" w:hAnsi="宋体"/>
                <w:sz w:val="24"/>
                <w:szCs w:val="24"/>
              </w:rPr>
            </w:pPr>
            <w:r>
              <w:rPr>
                <w:rFonts w:hint="eastAsia" w:ascii="宋体" w:hAnsi="宋体"/>
                <w:sz w:val="24"/>
                <w:szCs w:val="24"/>
              </w:rPr>
              <w:t>5</w:t>
            </w:r>
            <w:r>
              <w:rPr>
                <w:rFonts w:ascii="宋体" w:hAnsi="宋体"/>
                <w:sz w:val="24"/>
                <w:szCs w:val="24"/>
              </w:rPr>
              <w:t>、扩展及接口</w:t>
            </w:r>
            <w:r>
              <w:rPr>
                <w:rFonts w:hint="eastAsia" w:ascii="宋体" w:hAnsi="宋体"/>
                <w:sz w:val="24"/>
                <w:szCs w:val="24"/>
              </w:rPr>
              <w:t>：</w:t>
            </w:r>
            <w:r>
              <w:rPr>
                <w:rFonts w:ascii="宋体" w:hAnsi="宋体"/>
                <w:sz w:val="24"/>
                <w:szCs w:val="24"/>
              </w:rPr>
              <w:t>PCIE3.0 x16插槽≥1</w:t>
            </w:r>
            <w:r>
              <w:rPr>
                <w:rFonts w:hint="eastAsia" w:ascii="宋体" w:hAnsi="宋体"/>
                <w:sz w:val="24"/>
                <w:szCs w:val="24"/>
              </w:rPr>
              <w:t>；</w:t>
            </w:r>
            <w:r>
              <w:rPr>
                <w:rFonts w:ascii="宋体" w:hAnsi="宋体"/>
                <w:sz w:val="24"/>
                <w:szCs w:val="24"/>
              </w:rPr>
              <w:t>USB3.0接口≥3；USB2.0接口≥2；VGA接口≥1</w:t>
            </w:r>
            <w:r>
              <w:rPr>
                <w:rFonts w:hint="eastAsia" w:ascii="宋体" w:hAnsi="宋体"/>
                <w:sz w:val="24"/>
                <w:szCs w:val="24"/>
              </w:rPr>
              <w:t>；</w:t>
            </w:r>
            <w:r>
              <w:rPr>
                <w:rFonts w:ascii="宋体" w:hAnsi="宋体"/>
                <w:sz w:val="24"/>
                <w:szCs w:val="24"/>
              </w:rPr>
              <w:t xml:space="preserve">RJ45接口≥2   </w:t>
            </w:r>
          </w:p>
          <w:p>
            <w:pPr>
              <w:widowControl/>
              <w:spacing w:line="400" w:lineRule="exact"/>
              <w:rPr>
                <w:rFonts w:ascii="宋体" w:hAnsi="宋体"/>
              </w:rPr>
            </w:pPr>
            <w:r>
              <w:rPr>
                <w:rFonts w:hint="eastAsia" w:ascii="宋体" w:hAnsi="宋体"/>
              </w:rPr>
              <w:t>6</w:t>
            </w:r>
            <w:r>
              <w:rPr>
                <w:rFonts w:ascii="宋体" w:hAnsi="宋体"/>
              </w:rPr>
              <w:t>、网络控制器</w:t>
            </w:r>
            <w:r>
              <w:rPr>
                <w:rFonts w:hint="eastAsia" w:ascii="宋体" w:hAnsi="宋体"/>
              </w:rPr>
              <w:t>：</w:t>
            </w:r>
            <w:r>
              <w:rPr>
                <w:rFonts w:ascii="宋体" w:hAnsi="宋体"/>
              </w:rPr>
              <w:t>集成双口1Gb自适应网卡</w:t>
            </w:r>
            <w:r>
              <w:rPr>
                <w:rFonts w:hint="eastAsia" w:ascii="宋体" w:hAnsi="宋体"/>
              </w:rPr>
              <w:t>；</w:t>
            </w:r>
          </w:p>
          <w:p>
            <w:pPr>
              <w:widowControl/>
              <w:spacing w:line="400" w:lineRule="exact"/>
              <w:rPr>
                <w:rFonts w:ascii="宋体" w:hAnsi="宋体" w:cs="宋体"/>
                <w:b/>
                <w:bCs/>
                <w:color w:val="000000"/>
              </w:rPr>
            </w:pPr>
            <w:r>
              <w:rPr>
                <w:rFonts w:ascii="宋体" w:hAnsi="宋体"/>
              </w:rPr>
              <w:t>7</w:t>
            </w:r>
            <w:r>
              <w:rPr>
                <w:rFonts w:hint="eastAsia" w:ascii="宋体" w:hAnsi="宋体"/>
              </w:rPr>
              <w:t>、显示器：</w:t>
            </w:r>
            <w:r>
              <w:rPr>
                <w:rFonts w:ascii="宋体" w:hAnsi="宋体"/>
              </w:rPr>
              <w:t>≥</w:t>
            </w:r>
            <w:r>
              <w:rPr>
                <w:rFonts w:hint="eastAsia" w:ascii="宋体" w:hAnsi="宋体"/>
              </w:rPr>
              <w:t>1</w:t>
            </w:r>
            <w:r>
              <w:rPr>
                <w:rFonts w:ascii="宋体" w:hAnsi="宋体"/>
              </w:rPr>
              <w:t>9</w:t>
            </w:r>
            <w:r>
              <w:rPr>
                <w:rFonts w:hint="eastAsia" w:ascii="宋体" w:hAnsi="宋体"/>
              </w:rPr>
              <w:t>英寸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2" w:hRule="atLeast"/>
        </w:trPr>
        <w:tc>
          <w:tcPr>
            <w:tcW w:w="771" w:type="dxa"/>
            <w:vMerge w:val="continue"/>
            <w:tcBorders>
              <w:right w:val="single" w:color="auto" w:sz="4" w:space="0"/>
            </w:tcBorders>
            <w:shd w:val="clear" w:color="auto" w:fill="auto"/>
            <w:vAlign w:val="center"/>
          </w:tcPr>
          <w:p>
            <w:pPr>
              <w:widowControl/>
              <w:spacing w:line="400" w:lineRule="exact"/>
              <w:jc w:val="center"/>
              <w:rPr>
                <w:rFonts w:ascii="宋体" w:hAnsi="宋体" w:cs="宋体"/>
                <w:b/>
                <w:bCs/>
                <w:color w:val="000000"/>
              </w:rPr>
            </w:pPr>
          </w:p>
        </w:tc>
        <w:tc>
          <w:tcPr>
            <w:tcW w:w="1286" w:type="dxa"/>
            <w:vMerge w:val="continue"/>
            <w:tcBorders>
              <w:left w:val="nil"/>
              <w:right w:val="single" w:color="auto" w:sz="4" w:space="0"/>
            </w:tcBorders>
            <w:vAlign w:val="center"/>
          </w:tcPr>
          <w:p>
            <w:pPr>
              <w:spacing w:line="400" w:lineRule="exact"/>
              <w:jc w:val="center"/>
              <w:rPr>
                <w:rFonts w:ascii="宋体" w:hAnsi="宋体" w:cs="宋体"/>
                <w:color w:val="000000"/>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rPr>
                <w:rFonts w:hint="eastAsia" w:ascii="宋体" w:hAnsi="宋体" w:cs="宋体"/>
                <w:color w:val="000000"/>
              </w:rPr>
              <w:t>1台</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rPr>
                <w:rFonts w:ascii="宋体" w:hAnsi="宋体"/>
              </w:rPr>
            </w:pPr>
            <w:r>
              <w:rPr>
                <w:rFonts w:hint="eastAsia" w:ascii="宋体" w:hAnsi="宋体" w:cs="宋体"/>
                <w:color w:val="000000"/>
              </w:rPr>
              <w:t>国产品牌笔记本电脑：</w:t>
            </w:r>
          </w:p>
          <w:p>
            <w:pPr>
              <w:widowControl/>
              <w:spacing w:line="400" w:lineRule="exact"/>
              <w:rPr>
                <w:rFonts w:ascii="宋体" w:hAnsi="宋体" w:cs="宋体"/>
                <w:b/>
                <w:bCs/>
                <w:color w:val="000000"/>
              </w:rPr>
            </w:pPr>
            <w:r>
              <w:rPr>
                <w:rFonts w:ascii="宋体" w:hAnsi="宋体"/>
              </w:rPr>
              <w:t>1、CPU≥I5；</w:t>
            </w:r>
            <w:r>
              <w:rPr>
                <w:rFonts w:hint="eastAsia" w:ascii="宋体" w:hAnsi="宋体"/>
              </w:rPr>
              <w:t>2</w:t>
            </w:r>
            <w:r>
              <w:rPr>
                <w:rFonts w:ascii="宋体" w:hAnsi="宋体"/>
              </w:rPr>
              <w:t>、内存≥</w:t>
            </w:r>
            <w:r>
              <w:rPr>
                <w:rFonts w:hint="eastAsia" w:ascii="宋体" w:hAnsi="宋体"/>
              </w:rPr>
              <w:t>8</w:t>
            </w:r>
            <w:r>
              <w:rPr>
                <w:rFonts w:ascii="宋体" w:hAnsi="宋体"/>
              </w:rPr>
              <w:t>G；</w:t>
            </w:r>
            <w:r>
              <w:rPr>
                <w:rFonts w:hint="eastAsia" w:ascii="宋体" w:hAnsi="宋体"/>
              </w:rPr>
              <w:t>3</w:t>
            </w:r>
            <w:r>
              <w:rPr>
                <w:rFonts w:ascii="宋体" w:hAnsi="宋体"/>
              </w:rPr>
              <w:t>、硬盘≥500G SSD；4、显示器≥</w:t>
            </w:r>
            <w:r>
              <w:rPr>
                <w:rFonts w:hint="eastAsia" w:ascii="宋体" w:hAnsi="宋体"/>
              </w:rPr>
              <w:t>1</w:t>
            </w:r>
            <w:r>
              <w:rPr>
                <w:rFonts w:ascii="宋体" w:hAnsi="宋体"/>
              </w:rPr>
              <w:t>3.3</w:t>
            </w:r>
            <w:r>
              <w:rPr>
                <w:rFonts w:hint="eastAsia" w:ascii="宋体" w:hAnsi="宋体"/>
              </w:rPr>
              <w:t>英寸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29" w:hRule="atLeast"/>
        </w:trPr>
        <w:tc>
          <w:tcPr>
            <w:tcW w:w="771" w:type="dxa"/>
            <w:vMerge w:val="continue"/>
            <w:tcBorders>
              <w:right w:val="single" w:color="auto" w:sz="4" w:space="0"/>
            </w:tcBorders>
            <w:shd w:val="clear" w:color="auto" w:fill="auto"/>
            <w:vAlign w:val="center"/>
          </w:tcPr>
          <w:p>
            <w:pPr>
              <w:widowControl/>
              <w:spacing w:line="400" w:lineRule="exact"/>
              <w:jc w:val="center"/>
              <w:rPr>
                <w:rFonts w:ascii="宋体" w:hAnsi="宋体" w:cs="宋体"/>
                <w:b/>
                <w:bCs/>
                <w:color w:val="000000"/>
              </w:rPr>
            </w:pPr>
          </w:p>
        </w:tc>
        <w:tc>
          <w:tcPr>
            <w:tcW w:w="1286" w:type="dxa"/>
            <w:vMerge w:val="continue"/>
            <w:tcBorders>
              <w:left w:val="nil"/>
              <w:right w:val="single" w:color="auto" w:sz="4" w:space="0"/>
            </w:tcBorders>
            <w:vAlign w:val="center"/>
          </w:tcPr>
          <w:p>
            <w:pPr>
              <w:spacing w:line="400" w:lineRule="exact"/>
              <w:jc w:val="center"/>
              <w:rPr>
                <w:rFonts w:ascii="宋体" w:hAnsi="宋体" w:cs="宋体"/>
                <w:color w:val="000000"/>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rPr>
                <w:rFonts w:hint="eastAsia" w:ascii="宋体" w:hAnsi="宋体" w:cs="宋体"/>
                <w:color w:val="000000"/>
              </w:rPr>
              <w:t>1</w:t>
            </w:r>
            <w:r>
              <w:rPr>
                <w:rFonts w:ascii="宋体" w:hAnsi="宋体" w:cs="宋体"/>
                <w:color w:val="000000"/>
              </w:rPr>
              <w:t>0</w:t>
            </w:r>
            <w:r>
              <w:rPr>
                <w:rFonts w:hint="eastAsia" w:ascii="宋体" w:hAnsi="宋体" w:cs="宋体"/>
                <w:color w:val="000000"/>
              </w:rPr>
              <w:t>台</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rPr>
                <w:rFonts w:ascii="宋体" w:hAnsi="宋体" w:cs="宋体"/>
                <w:color w:val="000000"/>
              </w:rPr>
            </w:pPr>
            <w:r>
              <w:rPr>
                <w:rFonts w:hint="eastAsia" w:ascii="宋体" w:hAnsi="宋体" w:cs="宋体"/>
                <w:color w:val="000000"/>
              </w:rPr>
              <w:t>国产品牌平板电脑：</w:t>
            </w:r>
          </w:p>
          <w:p>
            <w:pPr>
              <w:widowControl/>
              <w:spacing w:line="400" w:lineRule="exact"/>
              <w:rPr>
                <w:rFonts w:ascii="宋体" w:hAnsi="宋体" w:cs="宋体"/>
                <w:b/>
                <w:bCs/>
                <w:color w:val="000000"/>
              </w:rPr>
            </w:pPr>
            <w:r>
              <w:rPr>
                <w:rFonts w:hint="eastAsia" w:ascii="宋体" w:hAnsi="宋体"/>
              </w:rPr>
              <w:t>1、C</w:t>
            </w:r>
            <w:r>
              <w:rPr>
                <w:rFonts w:ascii="宋体" w:hAnsi="宋体"/>
              </w:rPr>
              <w:t xml:space="preserve">PU </w:t>
            </w:r>
            <w:r>
              <w:rPr>
                <w:rFonts w:hint="eastAsia" w:ascii="宋体" w:hAnsi="宋体"/>
              </w:rPr>
              <w:t>麒麟8</w:t>
            </w:r>
            <w:r>
              <w:rPr>
                <w:rFonts w:ascii="宋体" w:hAnsi="宋体"/>
              </w:rPr>
              <w:t>10</w:t>
            </w:r>
            <w:r>
              <w:rPr>
                <w:rFonts w:hint="eastAsia" w:ascii="宋体" w:hAnsi="宋体"/>
              </w:rPr>
              <w:t>及以上；2、屏幕</w:t>
            </w:r>
            <w:r>
              <w:rPr>
                <w:rFonts w:ascii="宋体" w:hAnsi="宋体"/>
              </w:rPr>
              <w:t>≥</w:t>
            </w:r>
            <w:r>
              <w:rPr>
                <w:rFonts w:hint="eastAsia" w:ascii="宋体" w:hAnsi="宋体"/>
              </w:rPr>
              <w:t>1</w:t>
            </w:r>
            <w:r>
              <w:rPr>
                <w:rFonts w:ascii="宋体" w:hAnsi="宋体"/>
              </w:rPr>
              <w:t>0</w:t>
            </w:r>
            <w:r>
              <w:rPr>
                <w:rFonts w:hint="eastAsia" w:ascii="宋体" w:hAnsi="宋体"/>
              </w:rPr>
              <w:t>英寸；3、运行内存4GB及以上；4、存储64GB及以上；5、网络连接方式：wifi</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6" w:hRule="atLeast"/>
        </w:trPr>
        <w:tc>
          <w:tcPr>
            <w:tcW w:w="771" w:type="dxa"/>
            <w:vMerge w:val="continue"/>
            <w:tcBorders>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b/>
                <w:bCs/>
                <w:color w:val="000000"/>
              </w:rPr>
            </w:pPr>
          </w:p>
        </w:tc>
        <w:tc>
          <w:tcPr>
            <w:tcW w:w="1286" w:type="dxa"/>
            <w:vMerge w:val="continue"/>
            <w:tcBorders>
              <w:left w:val="nil"/>
              <w:right w:val="single" w:color="auto" w:sz="4" w:space="0"/>
            </w:tcBorders>
            <w:vAlign w:val="center"/>
          </w:tcPr>
          <w:p>
            <w:pPr>
              <w:spacing w:line="400" w:lineRule="exact"/>
              <w:jc w:val="center"/>
              <w:rPr>
                <w:rFonts w:ascii="宋体" w:hAnsi="宋体" w:cs="宋体"/>
                <w:color w:val="000000"/>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1套</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rPr>
                <w:rFonts w:ascii="宋体" w:hAnsi="宋体" w:cs="宋体"/>
                <w:color w:val="000000"/>
              </w:rPr>
            </w:pPr>
            <w:r>
              <w:rPr>
                <w:rFonts w:hint="eastAsia" w:ascii="宋体" w:hAnsi="宋体" w:cs="宋体"/>
                <w:color w:val="000000"/>
              </w:rPr>
              <w:t>★</w:t>
            </w:r>
            <w:r>
              <w:rPr>
                <w:rFonts w:hint="eastAsia" w:ascii="宋体" w:hAnsi="宋体"/>
              </w:rPr>
              <w:t>户外无线信号：覆盖面积</w:t>
            </w:r>
            <w:r>
              <w:rPr>
                <w:rFonts w:ascii="宋体" w:hAnsi="宋体"/>
              </w:rPr>
              <w:t>≥</w:t>
            </w:r>
            <w:r>
              <w:rPr>
                <w:rFonts w:hint="eastAsia" w:ascii="宋体" w:hAnsi="宋体"/>
              </w:rPr>
              <w:t>15000平米的WIFI信号覆盖，用户数</w:t>
            </w:r>
            <w:r>
              <w:rPr>
                <w:rFonts w:ascii="宋体" w:hAnsi="宋体"/>
              </w:rPr>
              <w:t>≥</w:t>
            </w:r>
            <w:r>
              <w:rPr>
                <w:rFonts w:hint="eastAsia" w:ascii="宋体" w:hAnsi="宋体"/>
              </w:rPr>
              <w:t>20同时使用。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3" w:hRule="atLeast"/>
        </w:trPr>
        <w:tc>
          <w:tcPr>
            <w:tcW w:w="771" w:type="dxa"/>
            <w:vMerge w:val="restart"/>
            <w:tcBorders>
              <w:top w:val="single" w:color="000000" w:sz="4" w:space="0"/>
              <w:right w:val="single" w:color="auto" w:sz="4" w:space="0"/>
            </w:tcBorders>
            <w:shd w:val="clear" w:color="auto" w:fill="auto"/>
            <w:vAlign w:val="center"/>
          </w:tcPr>
          <w:p>
            <w:pPr>
              <w:widowControl/>
              <w:spacing w:line="400" w:lineRule="exact"/>
              <w:jc w:val="center"/>
              <w:rPr>
                <w:rFonts w:ascii="宋体" w:hAnsi="宋体" w:cs="宋体"/>
                <w:b/>
                <w:bCs/>
                <w:color w:val="000000"/>
              </w:rPr>
            </w:pPr>
            <w:r>
              <w:rPr>
                <w:rFonts w:ascii="宋体" w:hAnsi="宋体" w:cs="宋体"/>
                <w:b/>
                <w:bCs/>
                <w:color w:val="000000"/>
              </w:rPr>
              <w:t>2</w:t>
            </w:r>
          </w:p>
        </w:tc>
        <w:tc>
          <w:tcPr>
            <w:tcW w:w="1286" w:type="dxa"/>
            <w:vMerge w:val="restart"/>
            <w:tcBorders>
              <w:top w:val="single" w:color="auto" w:sz="4" w:space="0"/>
              <w:left w:val="nil"/>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软件开发（安卓APP）</w:t>
            </w:r>
          </w:p>
        </w:tc>
        <w:tc>
          <w:tcPr>
            <w:tcW w:w="1114"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rPr>
            </w:pPr>
            <w:r>
              <w:rPr>
                <w:rFonts w:hint="eastAsia" w:ascii="宋体" w:hAnsi="宋体" w:cs="宋体"/>
                <w:color w:val="000000"/>
              </w:rPr>
              <w:t>移动医生站APP</w:t>
            </w: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患者主索引维护</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★主要是对伤员基本信息进行维护：主要信息包括伤员编号、姓名等信息，方便医生站检索。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751"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nil"/>
              <w:right w:val="single" w:color="auto" w:sz="4" w:space="0"/>
            </w:tcBorders>
          </w:tcPr>
          <w:p>
            <w:pPr>
              <w:widowControl/>
              <w:spacing w:line="400" w:lineRule="exact"/>
              <w:jc w:val="center"/>
              <w:rPr>
                <w:rFonts w:ascii="宋体" w:hAnsi="宋体" w:cs="宋体"/>
                <w:color w:val="000000"/>
              </w:rPr>
            </w:pPr>
          </w:p>
        </w:tc>
        <w:tc>
          <w:tcPr>
            <w:tcW w:w="1114"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医生工作台</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医生诊疗活动的主要界面：</w:t>
            </w:r>
            <w:r>
              <w:rPr>
                <w:rFonts w:hint="eastAsia" w:ascii="宋体" w:hAnsi="宋体" w:cs="宋体"/>
                <w:color w:val="000000"/>
              </w:rPr>
              <w:br w:type="textWrapping"/>
            </w:r>
            <w:r>
              <w:rPr>
                <w:rFonts w:hint="eastAsia" w:ascii="宋体" w:hAnsi="宋体" w:cs="宋体"/>
                <w:color w:val="000000"/>
              </w:rPr>
              <w:t>1、患者选择：医生可以选择已经录入的伤员，选择后的患者展示在主界面。</w:t>
            </w:r>
            <w:r>
              <w:rPr>
                <w:rFonts w:hint="eastAsia" w:ascii="宋体" w:hAnsi="宋体" w:cs="宋体"/>
                <w:color w:val="000000"/>
              </w:rPr>
              <w:br w:type="textWrapping"/>
            </w:r>
            <w:r>
              <w:rPr>
                <w:rFonts w:hint="eastAsia" w:ascii="宋体" w:hAnsi="宋体" w:cs="宋体"/>
                <w:color w:val="000000"/>
              </w:rPr>
              <w:t>2、诊断录入：引入ICD，选择诊断。</w:t>
            </w:r>
            <w:r>
              <w:rPr>
                <w:rFonts w:hint="eastAsia" w:ascii="宋体" w:hAnsi="宋体" w:cs="宋体"/>
                <w:color w:val="000000"/>
              </w:rPr>
              <w:br w:type="textWrapping"/>
            </w:r>
            <w:r>
              <w:rPr>
                <w:rFonts w:hint="eastAsia" w:ascii="宋体" w:hAnsi="宋体" w:cs="宋体"/>
                <w:color w:val="000000"/>
              </w:rPr>
              <w:t>3、★处方开具：可以给已经选择伤员开具处方，每个处方最多能开具5个药品，处方医生保存并提交后发送到移动药师端发药。处方内容包括：药品名称、规格、剂型、厂家、频次、途径、单位、天数、金额</w:t>
            </w:r>
            <w:r>
              <w:rPr>
                <w:rFonts w:hint="eastAsia" w:ascii="宋体" w:hAnsi="宋体" w:cs="宋体"/>
                <w:color w:val="000000"/>
              </w:rPr>
              <w:br w:type="textWrapping"/>
            </w:r>
            <w:r>
              <w:rPr>
                <w:rFonts w:hint="eastAsia" w:ascii="宋体" w:hAnsi="宋体" w:cs="宋体"/>
                <w:color w:val="000000"/>
              </w:rPr>
              <w:t>4、患者查看：医生可以查看已经诊疗过的患者以及相应的处方。</w:t>
            </w:r>
            <w:r>
              <w:rPr>
                <w:rFonts w:hint="eastAsia" w:ascii="宋体" w:hAnsi="宋体" w:cs="宋体"/>
                <w:color w:val="000000"/>
              </w:rPr>
              <w:br w:type="textWrapping"/>
            </w:r>
            <w:r>
              <w:rPr>
                <w:rFonts w:hint="eastAsia" w:ascii="宋体" w:hAnsi="宋体" w:cs="宋体"/>
                <w:color w:val="000000"/>
              </w:rPr>
              <w:t>5、处方引入：可以对已经就诊患者直接处方调入修改，加快开放速度。</w:t>
            </w:r>
            <w:r>
              <w:rPr>
                <w:rFonts w:hint="eastAsia" w:ascii="宋体" w:hAnsi="宋体" w:cs="宋体"/>
                <w:color w:val="000000"/>
              </w:rPr>
              <w:br w:type="textWrapping"/>
            </w:r>
            <w:r>
              <w:rPr>
                <w:rFonts w:hint="eastAsia" w:ascii="宋体" w:hAnsi="宋体" w:cs="宋体"/>
                <w:color w:val="000000"/>
              </w:rPr>
              <w:t>6、★医生药品权限管理：针对每个医生有不同的药品使用权限，管理端统一维护，比如抗菌药、毒药、麻药、精神药品、放射药品等。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3"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nil"/>
              <w:right w:val="single" w:color="auto" w:sz="4" w:space="0"/>
            </w:tcBorders>
          </w:tcPr>
          <w:p>
            <w:pPr>
              <w:widowControl/>
              <w:spacing w:line="400" w:lineRule="exact"/>
              <w:jc w:val="center"/>
              <w:rPr>
                <w:rFonts w:ascii="宋体" w:hAnsi="宋体" w:cs="宋体"/>
                <w:color w:val="000000"/>
              </w:rPr>
            </w:pPr>
          </w:p>
        </w:tc>
        <w:tc>
          <w:tcPr>
            <w:tcW w:w="1114"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个人信息</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查看医生个人信息，工号、姓名、职称等，医生需要在管理端开通权限才能登陆APP开展诊疗互动。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447" w:hRule="atLeast"/>
        </w:trPr>
        <w:tc>
          <w:tcPr>
            <w:tcW w:w="771" w:type="dxa"/>
            <w:vMerge w:val="continue"/>
            <w:tcBorders>
              <w:right w:val="single" w:color="auto" w:sz="4" w:space="0"/>
            </w:tcBorders>
            <w:shd w:val="clear" w:color="auto" w:fill="auto"/>
            <w:vAlign w:val="center"/>
          </w:tcPr>
          <w:p>
            <w:pPr>
              <w:widowControl/>
              <w:spacing w:line="400" w:lineRule="exact"/>
              <w:jc w:val="center"/>
              <w:rPr>
                <w:rFonts w:ascii="宋体" w:hAnsi="宋体" w:cs="宋体"/>
                <w:b/>
                <w:bCs/>
                <w:color w:val="000000"/>
              </w:rPr>
            </w:pPr>
          </w:p>
        </w:tc>
        <w:tc>
          <w:tcPr>
            <w:tcW w:w="1286" w:type="dxa"/>
            <w:vMerge w:val="continue"/>
            <w:tcBorders>
              <w:left w:val="nil"/>
              <w:right w:val="single" w:color="auto" w:sz="4" w:space="0"/>
            </w:tcBorders>
          </w:tcPr>
          <w:p>
            <w:pPr>
              <w:widowControl/>
              <w:spacing w:line="400" w:lineRule="exact"/>
              <w:jc w:val="center"/>
              <w:rPr>
                <w:rFonts w:ascii="宋体" w:hAnsi="宋体" w:cs="宋体"/>
                <w:color w:val="000000"/>
              </w:rPr>
            </w:pPr>
          </w:p>
        </w:tc>
        <w:tc>
          <w:tcPr>
            <w:tcW w:w="1114" w:type="dxa"/>
            <w:vMerge w:val="restart"/>
            <w:tcBorders>
              <w:top w:val="nil"/>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移动药房端APP</w:t>
            </w: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药师工作台</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药师工作的主要界面：</w:t>
            </w:r>
            <w:r>
              <w:rPr>
                <w:rFonts w:hint="eastAsia" w:ascii="宋体" w:hAnsi="宋体" w:cs="宋体"/>
                <w:color w:val="000000"/>
              </w:rPr>
              <w:br w:type="textWrapping"/>
            </w:r>
            <w:r>
              <w:rPr>
                <w:rFonts w:hint="eastAsia" w:ascii="宋体" w:hAnsi="宋体" w:cs="宋体"/>
                <w:color w:val="000000"/>
              </w:rPr>
              <w:t>1、当日待发药处方列表显示和查看处方详情，可以对处方批量发药或者取消发药，扣增库存，扣库存，需要按照先进先出的原则，记录发药药师、发药时间等信息。</w:t>
            </w:r>
            <w:r>
              <w:rPr>
                <w:rFonts w:hint="eastAsia" w:ascii="宋体" w:hAnsi="宋体" w:cs="宋体"/>
                <w:color w:val="000000"/>
              </w:rPr>
              <w:br w:type="textWrapping"/>
            </w:r>
            <w:r>
              <w:rPr>
                <w:rFonts w:hint="eastAsia" w:ascii="宋体" w:hAnsi="宋体" w:cs="宋体"/>
                <w:color w:val="000000"/>
              </w:rPr>
              <w:t>2、可以查看已经确认发药的处方列表以及处方详情。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72"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nil"/>
              <w:right w:val="single" w:color="auto" w:sz="4" w:space="0"/>
            </w:tcBorders>
          </w:tcPr>
          <w:p>
            <w:pPr>
              <w:widowControl/>
              <w:spacing w:line="400" w:lineRule="exact"/>
              <w:jc w:val="center"/>
              <w:rPr>
                <w:rFonts w:ascii="宋体" w:hAnsi="宋体" w:cs="宋体"/>
                <w:color w:val="000000"/>
              </w:rPr>
            </w:pPr>
          </w:p>
        </w:tc>
        <w:tc>
          <w:tcPr>
            <w:tcW w:w="1114"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个人信息</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查看药师个人信息，工号、姓名、职称等，医生需要在管理端开通权限才能登陆APP开展诊疗互动。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atLeast"/>
        </w:trPr>
        <w:tc>
          <w:tcPr>
            <w:tcW w:w="771" w:type="dxa"/>
            <w:vMerge w:val="continue"/>
            <w:tcBorders>
              <w:right w:val="single" w:color="auto" w:sz="4" w:space="0"/>
            </w:tcBorders>
            <w:shd w:val="clear" w:color="auto" w:fill="auto"/>
            <w:vAlign w:val="center"/>
          </w:tcPr>
          <w:p>
            <w:pPr>
              <w:widowControl/>
              <w:spacing w:line="400" w:lineRule="exact"/>
              <w:jc w:val="center"/>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center"/>
              <w:rPr>
                <w:rFonts w:ascii="宋体" w:hAnsi="宋体" w:cs="宋体"/>
                <w:color w:val="000000"/>
              </w:rPr>
            </w:pPr>
          </w:p>
        </w:tc>
        <w:tc>
          <w:tcPr>
            <w:tcW w:w="1114" w:type="dxa"/>
            <w:vMerge w:val="restart"/>
            <w:tcBorders>
              <w:top w:val="nil"/>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系统管理</w:t>
            </w: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医师管理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提前维护医师的基本信息，开通APP使用权限，并维护权限。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1"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药师管理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提前维护药师的基本信息，开通APP使用权限。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2"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患者管理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查看或者维护患者信息。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5"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center"/>
              <w:rPr>
                <w:rFonts w:ascii="宋体" w:hAnsi="宋体" w:cs="宋体"/>
                <w:color w:val="000000"/>
              </w:rPr>
            </w:pPr>
          </w:p>
        </w:tc>
        <w:tc>
          <w:tcPr>
            <w:tcW w:w="1114"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药品目录管理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维护药品目录信息，包括：药品名称、规格、剂型、厂家、国药准字、药品属性、包装单位、最小单位、包装量、最小单位剂量、价格。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2"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诊断字典管理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维护诊断，编码、名称、检索码（自动生成）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2"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给药途径字典管理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维护药品途径信息，编码、名称、检索码（自动生成）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1"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给药频次字典管理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维护药品频次信息，编码、名称、检索码（自动生成）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8"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基本单位管理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维护药品基本单位信息，编码、名称、检索码（自动生成）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36"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药品剂型字典管理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维护药品剂型信息，编码、名称、检索码（自动生成）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62"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药品生产厂家字典管理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维护药品厂商信息，编码、名称、检索码（自动生成）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2"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药品供应商管理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维护药品供应商信息，编码、名称、检索码（自动生成）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57"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药品通用名字典管理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维护药品通用名信息，编码、名称、检索码（自动生成）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3"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药品属性维护</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维护药品属性字典，抗菌药（非限制级、限制级、特殊级）、毒性药品、麻醉药品、精神药品（一类和二类）等。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4"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科室管理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维护科室字典。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药房字典管理</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维护药房字典，以及药房所属科室。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1"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center"/>
              <w:rPr>
                <w:rFonts w:ascii="宋体" w:hAnsi="宋体" w:cs="宋体"/>
                <w:color w:val="000000"/>
              </w:rPr>
            </w:pPr>
          </w:p>
        </w:tc>
        <w:tc>
          <w:tcPr>
            <w:tcW w:w="1114"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药品入库</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药品入库，选择入库药品、入库药房、供应商、国药准字、生产日期、有效日期、入库数量。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药品报损登记</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选择报损药品名称，填写报损数量、原因、批次，扣减库存。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6"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center"/>
              <w:rPr>
                <w:rFonts w:ascii="宋体" w:hAnsi="宋体" w:cs="宋体"/>
                <w:color w:val="000000"/>
              </w:rPr>
            </w:pPr>
          </w:p>
        </w:tc>
        <w:tc>
          <w:tcPr>
            <w:tcW w:w="1114"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药品近效期查询</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自定义查询距离有效期多久的药品或者已经失效的药品，可以默认距离参数。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2"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药品出入库查询</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可以根据日期、药品属性，查询药品出入库详情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8" w:hRule="atLeast"/>
        </w:trPr>
        <w:tc>
          <w:tcPr>
            <w:tcW w:w="771" w:type="dxa"/>
            <w:vMerge w:val="continue"/>
            <w:tcBorders>
              <w:bottom w:val="single" w:color="auto" w:sz="4" w:space="0"/>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rPr>
            </w:pPr>
          </w:p>
        </w:tc>
        <w:tc>
          <w:tcPr>
            <w:tcW w:w="1114"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rPr>
            </w:pPr>
          </w:p>
        </w:tc>
        <w:tc>
          <w:tcPr>
            <w:tcW w:w="152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药品报损查询</w:t>
            </w:r>
          </w:p>
        </w:tc>
        <w:tc>
          <w:tcPr>
            <w:tcW w:w="4645" w:type="dxa"/>
            <w:tcBorders>
              <w:top w:val="nil"/>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查询药品报损情况。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4" w:hRule="atLeast"/>
        </w:trPr>
        <w:tc>
          <w:tcPr>
            <w:tcW w:w="771" w:type="dxa"/>
            <w:vMerge w:val="restart"/>
            <w:tcBorders>
              <w:top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rPr>
            </w:pPr>
            <w:r>
              <w:rPr>
                <w:rFonts w:hint="eastAsia" w:ascii="宋体" w:hAnsi="宋体" w:cs="宋体"/>
                <w:b/>
                <w:bCs/>
                <w:color w:val="000000"/>
              </w:rPr>
              <w:t>3</w:t>
            </w:r>
          </w:p>
        </w:tc>
        <w:tc>
          <w:tcPr>
            <w:tcW w:w="128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000000"/>
              </w:rPr>
            </w:pPr>
          </w:p>
          <w:p>
            <w:pPr>
              <w:widowControl/>
              <w:spacing w:line="400" w:lineRule="exact"/>
              <w:jc w:val="center"/>
              <w:rPr>
                <w:rFonts w:ascii="宋体" w:hAnsi="宋体" w:cs="宋体"/>
                <w:color w:val="000000"/>
              </w:rPr>
            </w:pPr>
          </w:p>
          <w:p>
            <w:pPr>
              <w:widowControl/>
              <w:spacing w:line="400" w:lineRule="exact"/>
              <w:jc w:val="center"/>
              <w:rPr>
                <w:rFonts w:ascii="宋体" w:hAnsi="宋体" w:cs="宋体"/>
                <w:color w:val="000000"/>
              </w:rPr>
            </w:pPr>
          </w:p>
          <w:p>
            <w:pPr>
              <w:widowControl/>
              <w:spacing w:line="400" w:lineRule="exact"/>
              <w:jc w:val="center"/>
              <w:rPr>
                <w:rFonts w:ascii="宋体" w:hAnsi="宋体" w:cs="宋体"/>
                <w:color w:val="000000"/>
              </w:rPr>
            </w:pPr>
          </w:p>
          <w:p>
            <w:pPr>
              <w:widowControl/>
              <w:spacing w:line="400" w:lineRule="exact"/>
              <w:jc w:val="center"/>
              <w:rPr>
                <w:rFonts w:ascii="宋体" w:hAnsi="宋体" w:cs="宋体"/>
                <w:color w:val="000000"/>
              </w:rPr>
            </w:pPr>
            <w:r>
              <w:rPr>
                <w:rFonts w:hint="eastAsia" w:ascii="宋体" w:hAnsi="宋体" w:cs="宋体"/>
                <w:color w:val="000000"/>
              </w:rPr>
              <w:t>总体技术要求</w:t>
            </w:r>
          </w:p>
          <w:p>
            <w:pPr>
              <w:widowControl/>
              <w:spacing w:line="400" w:lineRule="exact"/>
              <w:jc w:val="center"/>
              <w:rPr>
                <w:rFonts w:ascii="宋体" w:hAnsi="宋体" w:cs="宋体"/>
                <w:color w:val="000000"/>
              </w:rPr>
            </w:pPr>
          </w:p>
          <w:p>
            <w:pPr>
              <w:widowControl/>
              <w:spacing w:line="400" w:lineRule="exact"/>
              <w:jc w:val="center"/>
              <w:rPr>
                <w:rFonts w:ascii="宋体" w:hAnsi="宋体" w:cs="宋体"/>
                <w:color w:val="000000"/>
              </w:rPr>
            </w:pPr>
          </w:p>
          <w:p>
            <w:pPr>
              <w:widowControl/>
              <w:spacing w:line="400" w:lineRule="exact"/>
              <w:jc w:val="center"/>
              <w:rPr>
                <w:rFonts w:ascii="宋体" w:hAnsi="宋体" w:cs="宋体"/>
                <w:color w:val="000000"/>
              </w:rPr>
            </w:pPr>
          </w:p>
          <w:p>
            <w:pPr>
              <w:widowControl/>
              <w:spacing w:line="400" w:lineRule="exact"/>
              <w:jc w:val="center"/>
              <w:rPr>
                <w:rFonts w:ascii="宋体" w:hAnsi="宋体" w:cs="宋体"/>
                <w:color w:val="000000"/>
              </w:rPr>
            </w:pP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系统灵活性</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快速实现本地化非云化服务端和客户端架设，适应开展移动医疗活动的客观条件。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03" w:hRule="atLeast"/>
        </w:trPr>
        <w:tc>
          <w:tcPr>
            <w:tcW w:w="771" w:type="dxa"/>
            <w:vMerge w:val="continue"/>
            <w:tcBorders>
              <w:top w:val="single" w:color="auto" w:sz="4" w:space="0"/>
              <w:bottom w:val="single" w:color="auto" w:sz="4" w:space="0"/>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top w:val="single" w:color="auto" w:sz="4" w:space="0"/>
              <w:left w:val="single" w:color="auto" w:sz="4" w:space="0"/>
              <w:right w:val="single" w:color="auto" w:sz="4" w:space="0"/>
            </w:tcBorders>
          </w:tcPr>
          <w:p>
            <w:pPr>
              <w:widowControl/>
              <w:spacing w:line="400" w:lineRule="exact"/>
              <w:jc w:val="center"/>
              <w:rPr>
                <w:rFonts w:ascii="宋体" w:hAnsi="宋体" w:cs="宋体"/>
                <w:color w:val="000000"/>
              </w:rPr>
            </w:pP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快速部署</w:t>
            </w:r>
          </w:p>
          <w:p>
            <w:pPr>
              <w:widowControl/>
              <w:spacing w:line="400" w:lineRule="exact"/>
              <w:jc w:val="center"/>
              <w:rPr>
                <w:rFonts w:ascii="宋体" w:hAnsi="宋体" w:cs="宋体"/>
                <w:color w:val="000000"/>
              </w:rPr>
            </w:pP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ascii="宋体" w:hAnsi="宋体" w:cs="宋体"/>
                <w:color w:val="000000"/>
              </w:rPr>
              <w:t>#本系统应用于户外环境，应充分考虑环境对设备的影响，软硬件需要具备快速部署展开和快速拆卸移动的特性，尽量减少使用前的准备和设备数量。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47" w:hRule="atLeast"/>
        </w:trPr>
        <w:tc>
          <w:tcPr>
            <w:tcW w:w="771" w:type="dxa"/>
            <w:vMerge w:val="continue"/>
            <w:tcBorders>
              <w:bottom w:val="single" w:color="auto" w:sz="4" w:space="0"/>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ascii="宋体" w:hAnsi="宋体" w:cs="宋体"/>
                <w:color w:val="000000"/>
              </w:rPr>
              <w:t>医疗业务扩展能力</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ascii="宋体" w:hAnsi="宋体" w:cs="宋体"/>
                <w:color w:val="000000"/>
              </w:rPr>
              <w:t>#系统应具备面向诊疗行为、诊疗项目等横向业务功能扩展能力，使得医院未来可以根据自身的实际需求在本系统内，水平扩充业务，从而满足医院对医疗业务未来发展的需求。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4" w:hRule="atLeast"/>
        </w:trPr>
        <w:tc>
          <w:tcPr>
            <w:tcW w:w="771" w:type="dxa"/>
            <w:vMerge w:val="continue"/>
            <w:tcBorders>
              <w:bottom w:val="single" w:color="auto" w:sz="4" w:space="0"/>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ascii="宋体" w:hAnsi="宋体" w:cs="宋体"/>
                <w:color w:val="000000"/>
              </w:rPr>
              <w:t>运行模式</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为便于在户外移动环境的使用及维护，软件必须基于</w:t>
            </w:r>
            <w:r>
              <w:rPr>
                <w:rFonts w:ascii="宋体" w:hAnsi="宋体" w:cs="宋体"/>
                <w:color w:val="000000"/>
              </w:rPr>
              <w:t>B/S架构设计，配合移动端专用APP进行使用。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9" w:hRule="atLeast"/>
        </w:trPr>
        <w:tc>
          <w:tcPr>
            <w:tcW w:w="771" w:type="dxa"/>
            <w:vMerge w:val="restart"/>
            <w:tcBorders>
              <w:top w:val="single" w:color="auto" w:sz="4" w:space="0"/>
              <w:right w:val="single" w:color="auto" w:sz="4" w:space="0"/>
            </w:tcBorders>
            <w:vAlign w:val="center"/>
          </w:tcPr>
          <w:p>
            <w:pPr>
              <w:widowControl/>
              <w:spacing w:line="400" w:lineRule="exact"/>
              <w:jc w:val="center"/>
              <w:rPr>
                <w:rFonts w:ascii="宋体" w:hAnsi="宋体" w:cs="宋体"/>
                <w:b/>
                <w:bCs/>
                <w:color w:val="000000"/>
              </w:rPr>
            </w:pPr>
            <w:r>
              <w:rPr>
                <w:rFonts w:hint="eastAsia" w:ascii="宋体" w:hAnsi="宋体" w:cs="宋体"/>
                <w:b/>
                <w:bCs/>
                <w:color w:val="000000"/>
              </w:rPr>
              <w:t>4</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其他</w:t>
            </w: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资质要求</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★武器装备科研生产单位具有二级及以上保密证书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9"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rPr>
            </w:pP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售后服务</w:t>
            </w:r>
          </w:p>
        </w:tc>
        <w:tc>
          <w:tcPr>
            <w:tcW w:w="6167" w:type="dxa"/>
            <w:gridSpan w:val="2"/>
            <w:tcBorders>
              <w:top w:val="single" w:color="auto" w:sz="4" w:space="0"/>
              <w:left w:val="nil"/>
              <w:bottom w:val="single" w:color="auto" w:sz="4" w:space="0"/>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★硬件质保3年，软件维保1年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7" w:hRule="atLeast"/>
        </w:trPr>
        <w:tc>
          <w:tcPr>
            <w:tcW w:w="771" w:type="dxa"/>
            <w:vMerge w:val="continue"/>
            <w:tcBorders>
              <w:right w:val="single" w:color="auto" w:sz="4" w:space="0"/>
            </w:tcBorders>
            <w:vAlign w:val="center"/>
          </w:tcPr>
          <w:p>
            <w:pPr>
              <w:widowControl/>
              <w:spacing w:line="400" w:lineRule="exact"/>
              <w:jc w:val="left"/>
              <w:rPr>
                <w:rFonts w:ascii="宋体" w:hAnsi="宋体" w:cs="宋体"/>
                <w:b/>
                <w:bCs/>
                <w:color w:val="000000"/>
              </w:rPr>
            </w:pPr>
          </w:p>
        </w:tc>
        <w:tc>
          <w:tcPr>
            <w:tcW w:w="1286" w:type="dxa"/>
            <w:vMerge w:val="continue"/>
            <w:tcBorders>
              <w:left w:val="single" w:color="auto" w:sz="4" w:space="0"/>
              <w:right w:val="single" w:color="auto" w:sz="4" w:space="0"/>
            </w:tcBorders>
          </w:tcPr>
          <w:p>
            <w:pPr>
              <w:widowControl/>
              <w:spacing w:line="400" w:lineRule="exact"/>
              <w:jc w:val="left"/>
              <w:rPr>
                <w:rFonts w:ascii="宋体" w:hAnsi="宋体" w:cs="宋体"/>
                <w:color w:val="000000"/>
              </w:rPr>
            </w:pPr>
          </w:p>
        </w:tc>
        <w:tc>
          <w:tcPr>
            <w:tcW w:w="1114" w:type="dxa"/>
            <w:tcBorders>
              <w:top w:val="single" w:color="auto" w:sz="4" w:space="0"/>
              <w:left w:val="nil"/>
              <w:right w:val="single" w:color="auto" w:sz="4" w:space="0"/>
            </w:tcBorders>
            <w:shd w:val="clear" w:color="auto" w:fill="auto"/>
            <w:vAlign w:val="center"/>
          </w:tcPr>
          <w:p>
            <w:pPr>
              <w:widowControl/>
              <w:spacing w:line="400" w:lineRule="exact"/>
              <w:jc w:val="center"/>
              <w:rPr>
                <w:rFonts w:ascii="宋体" w:hAnsi="宋体" w:cs="宋体"/>
                <w:color w:val="000000"/>
              </w:rPr>
            </w:pPr>
            <w:r>
              <w:rPr>
                <w:rFonts w:hint="eastAsia" w:ascii="宋体" w:hAnsi="宋体" w:cs="宋体"/>
                <w:color w:val="000000"/>
              </w:rPr>
              <w:t>交付周期</w:t>
            </w:r>
          </w:p>
        </w:tc>
        <w:tc>
          <w:tcPr>
            <w:tcW w:w="6167" w:type="dxa"/>
            <w:gridSpan w:val="2"/>
            <w:tcBorders>
              <w:top w:val="single" w:color="auto" w:sz="4" w:space="0"/>
              <w:left w:val="nil"/>
            </w:tcBorders>
            <w:shd w:val="clear" w:color="auto" w:fill="auto"/>
            <w:vAlign w:val="center"/>
          </w:tcPr>
          <w:p>
            <w:pPr>
              <w:widowControl/>
              <w:spacing w:line="400" w:lineRule="exact"/>
              <w:jc w:val="left"/>
              <w:rPr>
                <w:rFonts w:ascii="宋体" w:hAnsi="宋体" w:cs="宋体"/>
                <w:color w:val="000000"/>
              </w:rPr>
            </w:pPr>
            <w:r>
              <w:rPr>
                <w:rFonts w:hint="eastAsia" w:ascii="宋体" w:hAnsi="宋体" w:cs="宋体"/>
                <w:color w:val="000000"/>
              </w:rPr>
              <w:t>★合同签订后180个自然日</w:t>
            </w: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8C021"/>
    <w:multiLevelType w:val="singleLevel"/>
    <w:tmpl w:val="CA88C021"/>
    <w:lvl w:ilvl="0" w:tentative="0">
      <w:start w:val="1"/>
      <w:numFmt w:val="decimal"/>
      <w:lvlText w:val="(%1)"/>
      <w:lvlJc w:val="left"/>
      <w:pPr>
        <w:ind w:left="425" w:hanging="425"/>
      </w:pPr>
      <w:rPr>
        <w:rFonts w:hint="default"/>
      </w:rPr>
    </w:lvl>
  </w:abstractNum>
  <w:abstractNum w:abstractNumId="1">
    <w:nsid w:val="16079D92"/>
    <w:multiLevelType w:val="singleLevel"/>
    <w:tmpl w:val="16079D92"/>
    <w:lvl w:ilvl="0" w:tentative="0">
      <w:start w:val="1"/>
      <w:numFmt w:val="decimal"/>
      <w:lvlText w:val="(%1)"/>
      <w:lvlJc w:val="left"/>
      <w:pPr>
        <w:ind w:left="425" w:hanging="425"/>
      </w:pPr>
      <w:rPr>
        <w:rFonts w:hint="default"/>
      </w:rPr>
    </w:lvl>
  </w:abstractNum>
  <w:abstractNum w:abstractNumId="2">
    <w:nsid w:val="2CE98879"/>
    <w:multiLevelType w:val="singleLevel"/>
    <w:tmpl w:val="2CE98879"/>
    <w:lvl w:ilvl="0" w:tentative="0">
      <w:start w:val="1"/>
      <w:numFmt w:val="decimal"/>
      <w:lvlText w:val="(%1)"/>
      <w:lvlJc w:val="left"/>
      <w:pPr>
        <w:ind w:left="425" w:hanging="425"/>
      </w:pPr>
      <w:rPr>
        <w:rFonts w:hint="default"/>
      </w:rPr>
    </w:lvl>
  </w:abstractNum>
  <w:abstractNum w:abstractNumId="3">
    <w:nsid w:val="70149CD9"/>
    <w:multiLevelType w:val="singleLevel"/>
    <w:tmpl w:val="70149CD9"/>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08E1681C"/>
    <w:rsid w:val="7739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lang w:val="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1"/>
      <w:lang w:val="zh-CN"/>
    </w:rPr>
  </w:style>
  <w:style w:type="paragraph" w:styleId="4">
    <w:name w:val="Body Text Indent"/>
    <w:basedOn w:val="1"/>
    <w:qFormat/>
    <w:uiPriority w:val="99"/>
    <w:pPr>
      <w:ind w:firstLine="555"/>
    </w:pPr>
    <w:rPr>
      <w:lang w:val="zh-CN"/>
    </w:rPr>
  </w:style>
  <w:style w:type="paragraph" w:styleId="5">
    <w:name w:val="Body Text First Indent 2"/>
    <w:basedOn w:val="4"/>
    <w:next w:val="1"/>
    <w:qFormat/>
    <w:uiPriority w:val="0"/>
    <w:pPr>
      <w:ind w:firstLine="420" w:firstLine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_Style 1"/>
    <w:basedOn w:val="1"/>
    <w:qFormat/>
    <w:uiPriority w:val="34"/>
    <w:pPr>
      <w:ind w:firstLine="420" w:firstLineChars="200"/>
    </w:pPr>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2022-05-23T07:31:00Z</dcterms:created>
  <dc:creator>SN</dc:creator>
  <cp:lastModifiedBy>S.N</cp:lastModifiedBy>
  <dcterms:modified xsi:type="dcterms:W3CDTF">2022-05-24T03:07:42Z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687366E3A73D4B2AAAF7F0C3C8CA51D0</vt:lpwstr>
  </property>
</Properties>
</file>