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1"/>
        <w:rPr>
          <w:rFonts w:ascii="宋体" w:hAnsi="宋体" w:cs="黑体"/>
          <w:sz w:val="21"/>
          <w:szCs w:val="21"/>
        </w:rPr>
      </w:pPr>
      <w:r>
        <w:rPr>
          <w:rFonts w:hint="eastAsia" w:ascii="宋体" w:hAnsi="宋体"/>
          <w:sz w:val="21"/>
          <w:szCs w:val="21"/>
        </w:rPr>
        <w:t>2022-JKMTDY-W1240</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44"/>
        <w:gridCol w:w="422"/>
        <w:gridCol w:w="1778"/>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小鼠独立通气笼设备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国产  </w:t>
            </w:r>
            <w:r>
              <w:rPr>
                <w:rFonts w:hint="eastAsia" w:ascii="宋体" w:hAnsi="宋体" w:eastAsia="宋体" w:cs="宋体"/>
                <w:sz w:val="21"/>
                <w:szCs w:val="21"/>
                <w:lang w:eastAsia="zh-CN"/>
              </w:rPr>
              <w:sym w:font="Wingdings" w:char="00FE"/>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79.6万元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6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30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主机监控系统</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数控微处理器控制，可自动提供恒定的气流速率和过滤器负荷补给、显示笼具类型和笼位数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主机系统要求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正负压可转换，主机进排气的HEPA过滤均经过专业DOP测试，并随机带有DOP测试通过文件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换气次数及压差</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可调，可达≥75次/小时，在满足换气次数的情况下，各个笼盒间压差分布均一，通过TIZ-BIFO权威认证，保证实验结果真实、准确性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笼内噪音</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笼内声音环境应符合小鼠实验条件。在10K-60KHz范围内（即鼠类动物听觉范围）噪音＜50db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w:t>
            </w:r>
          </w:p>
        </w:tc>
        <w:tc>
          <w:tcPr>
            <w:tcW w:w="1766" w:type="dxa"/>
            <w:gridSpan w:val="2"/>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尺寸及规格</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5.1 ≤1600 mm×550 mm×2100mm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766" w:type="dxa"/>
            <w:gridSpan w:val="2"/>
            <w:vMerge w:val="continue"/>
            <w:vAlign w:val="center"/>
          </w:tcPr>
          <w:p>
            <w:pPr>
              <w:jc w:val="center"/>
              <w:rPr>
                <w:rFonts w:hint="eastAsia" w:ascii="宋体" w:hAnsi="宋体" w:eastAsia="宋体" w:cs="宋体"/>
                <w:b w:val="0"/>
                <w:bCs w:val="0"/>
                <w:sz w:val="21"/>
                <w:szCs w:val="21"/>
              </w:rPr>
            </w:pP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★5.2 单面架≥70笼位，总笼位数≥140笼位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6</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笼架材质</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笼架为的AISI 304不锈钢结构，可高压灭菌，易清洗，可拆卸，无需工具即可拆卸清洗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笼盒材质</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笼盒采用Solvay或BASF PSU（Polysulfone聚砜）材料，高压灭菌温度最高可达134℃；绝对禁止使用假PSU塑料或者回收塑料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笼盒规格</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底面积≥500cm²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9</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笼盒密封设计</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笼盒密封采用无卡扣设</w:t>
            </w:r>
            <w:bookmarkStart w:id="0" w:name="_GoBack"/>
            <w:bookmarkEnd w:id="0"/>
            <w:r>
              <w:rPr>
                <w:rFonts w:hint="eastAsia" w:ascii="宋体" w:hAnsi="宋体" w:eastAsia="宋体" w:cs="宋体"/>
                <w:b w:val="0"/>
                <w:bCs w:val="0"/>
                <w:i w:val="0"/>
                <w:iCs w:val="0"/>
                <w:color w:val="000000"/>
                <w:kern w:val="0"/>
                <w:sz w:val="21"/>
                <w:szCs w:val="21"/>
                <w:u w:val="none"/>
                <w:lang w:val="en-US" w:eastAsia="zh-CN" w:bidi="ar"/>
              </w:rPr>
              <w:t>计应保证内部密封性的同时满足反复使用无耗材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★10</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笼盒送风方式</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笼盒的进送风嘴须在笼盖上，避免动物直接被送风吹的刺激，笼盒内的气流速度＜0.2m/s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＃11</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断电保护功能</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笼盖配置防停电窒息的生命窗，并覆盖微生物滤膜保护，断电后小鼠可继续生存≥48小时，笼盖上生命窗病毒过滤有效性VFE达99.9999%，细菌过滤有效性BFE达99.99999%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＃12</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高监控性</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系统具备远程报警系统(RAS)和无线数据管理系统（WDM）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★13</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单台配置</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小鼠独立通气笼设备架体2架，小鼠独立通气笼设备笼盒（含食槽和水瓶）140个，备用笼盒（含食槽和水瓶）42个，笼架与主机间连接管4根，UPS电源1个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★14</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整机免费质保3年</w:t>
            </w:r>
          </w:p>
        </w:tc>
      </w:tr>
    </w:tbl>
    <w:p>
      <w:pPr>
        <w:rPr>
          <w:rFonts w:hint="eastAsia" w:ascii="宋体" w:hAnsi="宋体"/>
          <w:sz w:val="21"/>
          <w:szCs w:val="21"/>
        </w:rPr>
      </w:pPr>
      <w:r>
        <w:rPr>
          <w:rFonts w:hint="eastAsia" w:ascii="宋体" w:hAnsi="宋体"/>
          <w:sz w:val="21"/>
          <w:szCs w:val="21"/>
        </w:rPr>
        <w:br w:type="page"/>
      </w:r>
    </w:p>
    <w:p>
      <w:pPr>
        <w:spacing w:line="360" w:lineRule="auto"/>
        <w:jc w:val="left"/>
        <w:outlineLvl w:val="1"/>
        <w:rPr>
          <w:rFonts w:ascii="宋体" w:hAnsi="宋体" w:cs="黑体"/>
          <w:sz w:val="21"/>
          <w:szCs w:val="21"/>
        </w:rPr>
      </w:pPr>
      <w:r>
        <w:rPr>
          <w:rFonts w:hint="eastAsia" w:ascii="宋体" w:hAnsi="宋体"/>
          <w:sz w:val="21"/>
          <w:szCs w:val="21"/>
        </w:rPr>
        <w:t>2022-JKMTDY-W1252</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76"/>
        <w:gridCol w:w="68"/>
        <w:gridCol w:w="2200"/>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7737" w:type="dxa"/>
            <w:gridSpan w:val="3"/>
            <w:vAlign w:val="center"/>
          </w:tcPr>
          <w:p>
            <w:pPr>
              <w:widowControl/>
              <w:rPr>
                <w:rFonts w:hint="eastAsia" w:ascii="宋体" w:hAnsi="宋体" w:eastAsia="宋体" w:cs="宋体"/>
                <w:sz w:val="21"/>
                <w:szCs w:val="21"/>
              </w:rPr>
            </w:pPr>
            <w:r>
              <w:rPr>
                <w:rFonts w:hint="eastAsia" w:ascii="宋体" w:hAnsi="宋体" w:eastAsia="宋体" w:cs="宋体"/>
                <w:sz w:val="21"/>
                <w:szCs w:val="21"/>
              </w:rPr>
              <w:t>高端麻醉工作站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设备数量</w:t>
            </w:r>
          </w:p>
        </w:tc>
        <w:tc>
          <w:tcPr>
            <w:tcW w:w="2200" w:type="dxa"/>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国产  </w:t>
            </w:r>
            <w:r>
              <w:rPr>
                <w:rFonts w:hint="eastAsia" w:ascii="宋体" w:hAnsi="宋体" w:eastAsia="宋体" w:cs="宋体"/>
                <w:sz w:val="21"/>
                <w:szCs w:val="21"/>
                <w:lang w:eastAsia="zh-CN"/>
              </w:rPr>
              <w:sym w:font="Wingdings" w:char="00FE"/>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设备最高投标限价</w:t>
            </w:r>
          </w:p>
        </w:tc>
        <w:tc>
          <w:tcPr>
            <w:tcW w:w="7737" w:type="dxa"/>
            <w:gridSpan w:val="3"/>
            <w:vAlign w:val="center"/>
          </w:tcPr>
          <w:p>
            <w:pPr>
              <w:jc w:val="left"/>
              <w:rPr>
                <w:rFonts w:hint="eastAsia" w:ascii="宋体" w:hAnsi="宋体" w:eastAsia="宋体" w:cs="宋体"/>
                <w:sz w:val="21"/>
                <w:szCs w:val="21"/>
              </w:rPr>
            </w:pPr>
            <w:r>
              <w:rPr>
                <w:rFonts w:hint="eastAsia" w:ascii="宋体" w:hAnsi="宋体" w:eastAsia="宋体" w:cs="宋体"/>
                <w:sz w:val="21"/>
                <w:szCs w:val="21"/>
              </w:rPr>
              <w:t>96万元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2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7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工作条件</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1.1 标配气体模块插槽，与主机一体化（非外挂式）；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 后备电池使用时间≥85分钟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★1.3 麻醉机机身自带≥3个电源输出插座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1.4 主机带三个大抽屉；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1.5 工作台双层灯光亮度可调；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1.6 标配RS232接口，以太网络接口，VGA投影仪分屏接口；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气源</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2.1 氧气：具备安全保护装置，在供氧压低于252Kpa时报警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 快速充氧范围35-50L/min；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★2.3 具有空气气源及接口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电子流量计</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3.1电子流量计：具备氧气和空气；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3.2具备备用机械流量管，流量范围1-10 l/min，保证在停电时能正常工作；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挥发罐</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★4.1 机身正面两个挥发罐的位置带自动互锁，标配一个同品牌七氟醚挥发罐（非OEM产品）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4.2 快速加药器式挥发罐，既保证快速加药，又保证无药物泄漏造成的浪费和环境污染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呼吸回路</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5.1 模块化呼吸回路，所有传感器及连接电缆内置在回路内；所有回路模块不用任何工具可以拆卸、安装；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5.2 所有回路模块（含流量传感器）可耐受134℃高温高压消毒避免院内交叉感染；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★5.3 干湿分离的钠石灰罐双层设计，容积≤1380ml，标配内置二氧化碳旁路功能，支持术中更换钠石灰，无需调至手动通气。在机械通气过程中，更换钠石灰罐无需选择确认，无需关停机械通气，可方便直接更换；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5.4 内置冷凝功能，采用物理方式解决回路积水问题；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5.5 智能回路系统，能识别和显示：正在使用呼吸模式以及CO2吸收罐状态；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5.6 鹅颈式手动皮襄支架可不同角度及高度的调整，且不参与通气，不存在回路漏气风险；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★5.7 手动皮囊应用范围包含成人、儿童、新生儿，且针对不同病人不用更换皮囊；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6</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呼吸机</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 气动电控呼吸机，支持中英文界面；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6.2 应用范围：儿童及成人等所有病人通气；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★6.3 自动检测挥发罐状态，提示低压漏气情况；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★6.4 提供辅助/控制/支持通气模式，标配: VCV、PCV、手动通气、电子PEEP、压力控制容量保证（PCV-VG）、SIMV PCV、SIMV VCV；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6.5 潮气量范围:20-1450ml（VCV模式下：20ml-1450ml，PCV模式下5ml-1450ml）；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6.6 呼吸频率：4-80 次/分钟（SIMV模式下机械通气呼吸频率：2-60 次/分钟）；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6.7 吸呼比：2:1到1:7；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6.8 最大吸气流速：≥110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6.9  压力范围（压力模式）： 5 到 60 cmH2O（PSVpro模式下压力范围：0，2-40cmH2O）；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6.10 压力限制范围：12到 90 cmH2O；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★6.11 呼吸机触发灵敏度要求≤200ML/分钟；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6.12 具备流量静态以及动态实时自动补偿功能，补偿新鲜气体变化、气体压缩、回路顺应性变化以及小的回路泄漏造成的吸入潮气量和设置潮气量的误差；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6.13 智能化呼吸机，有防止错误设置功能，保证麻醉安全；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6.14 标配三种工作模式：通气模式、待机模式和心脏手术模式；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6.15 30分钟迷你趋势，可手术中与其他呼吸机参数同屏分屏显示；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＃6.16  可同屏显示≥三道波形，可显示≥三种呼吸环， 回路呼吸环监测功能，可监测描记三种呼吸环：压力容量环、流量容量环和压力流量环；回路顺应性，回路阻力，气体流速。可冻结6个参考环，用于手术维持期不同时间段的顺应性对比。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屏幕要求</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7.1  外置式显示屏≥15英寸彩色可触摸显示屏幕，可以多角度自由旋转；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7.2  屏幕具备双分屏显示功能.当触屏失灵,手动可调；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7.3  用户可选择的全自检或部分自检功能，既能保证安全的使用，又能保证紧急抢救时的快速启动，可无限次跳过自检；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数字和波形监测</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8.1 监测参数：吸入氧、空气流量、呼吸频率、潮气量、分钟通气量、气道压（峰压、平台压、平均压、PEEP）；实时压力时间、流速时间呼吸波形描记并同屏显示；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8.2 报警参数：氧浓度、低驱动压、气道压、潮气量、分钟通气量、窒息；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9</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传感器</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★9.1 韧钢抗变型加热流量传感器；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9.2 可耐受134℃高温高压消毒；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9.3 高精度流量传感器，最小潮气量监测值不大于5ml；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9.4 吸入和呼出端双高精度流量传感器，保证流量自动实时补偿，流量补偿范围：100 ml/ min-15 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10</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其他监测</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10.1  模块化气体监测，支持气体模块在麻醉机和监护仪间互相使用，可不关机直接插拔，方便使用与保养，麻药可自动识别，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10.2 标配旁路式5种麻药吸入、呼出浓度监测；麻药自动识别功能；混合不同浓度麻药MAC值检测；未知气体浓度检测，吸入、呼出O2、CO2、N2O浓度监测，并描记CO2波形，O2浓度监测采用顺磁氧技术，无耗材。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10.3 报警参数：氧浓度、低驱动压、气道压、潮气量、分钟通气量、窒息；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11</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bCs/>
                <w:i w:val="0"/>
                <w:iCs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售后</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 xml:space="preserve">整机免费质保4年，包含所有配件（氧电池、积水杯、流量传感器等）原厂保修。 </w:t>
            </w:r>
          </w:p>
        </w:tc>
      </w:tr>
    </w:tbl>
    <w:p>
      <w:pPr>
        <w:widowControl/>
        <w:jc w:val="left"/>
        <w:rPr>
          <w:rFonts w:ascii="宋体" w:hAnsi="宋体"/>
          <w:sz w:val="21"/>
          <w:szCs w:val="21"/>
        </w:rPr>
      </w:pPr>
    </w:p>
    <w:p>
      <w:pPr>
        <w:widowControl/>
        <w:jc w:val="left"/>
        <w:rPr>
          <w:rFonts w:ascii="宋体" w:hAnsi="宋体"/>
          <w:sz w:val="21"/>
          <w:szCs w:val="21"/>
        </w:rPr>
      </w:pPr>
      <w:r>
        <w:rPr>
          <w:rFonts w:ascii="宋体" w:hAnsi="宋体"/>
          <w:sz w:val="21"/>
          <w:szCs w:val="21"/>
        </w:rPr>
        <w:br w:type="page"/>
      </w:r>
    </w:p>
    <w:p>
      <w:pPr>
        <w:spacing w:line="360" w:lineRule="auto"/>
        <w:jc w:val="left"/>
        <w:outlineLvl w:val="1"/>
        <w:rPr>
          <w:rFonts w:ascii="宋体" w:hAnsi="宋体" w:cs="黑体"/>
          <w:sz w:val="21"/>
          <w:szCs w:val="21"/>
        </w:rPr>
      </w:pPr>
      <w:r>
        <w:rPr>
          <w:rFonts w:hint="eastAsia" w:ascii="宋体" w:hAnsi="宋体"/>
          <w:sz w:val="21"/>
          <w:szCs w:val="21"/>
        </w:rPr>
        <w:t>2022-JKMTDY-W1253</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76"/>
        <w:gridCol w:w="68"/>
        <w:gridCol w:w="2200"/>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7737" w:type="dxa"/>
            <w:gridSpan w:val="3"/>
            <w:vAlign w:val="center"/>
          </w:tcPr>
          <w:p>
            <w:pPr>
              <w:widowControl/>
              <w:rPr>
                <w:rFonts w:hint="eastAsia" w:ascii="宋体" w:hAnsi="宋体" w:eastAsia="宋体" w:cs="宋体"/>
                <w:sz w:val="21"/>
                <w:szCs w:val="21"/>
              </w:rPr>
            </w:pPr>
            <w:r>
              <w:rPr>
                <w:rFonts w:hint="eastAsia" w:ascii="宋体" w:hAnsi="宋体" w:eastAsia="宋体" w:cs="宋体"/>
                <w:sz w:val="21"/>
                <w:szCs w:val="21"/>
              </w:rPr>
              <w:t>医用图像纸质彩色打印机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2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设备数量</w:t>
            </w:r>
          </w:p>
        </w:tc>
        <w:tc>
          <w:tcPr>
            <w:tcW w:w="220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lang w:eastAsia="zh-CN"/>
              </w:rPr>
              <w:sym w:font="Wingdings" w:char="00FE"/>
            </w:r>
            <w:r>
              <w:rPr>
                <w:rFonts w:hint="eastAsia" w:ascii="宋体" w:hAnsi="宋体" w:eastAsia="宋体" w:cs="宋体"/>
                <w:sz w:val="21"/>
                <w:szCs w:val="21"/>
              </w:rPr>
              <w:t xml:space="preserve">国产  </w:t>
            </w:r>
            <w:r>
              <w:rPr>
                <w:rFonts w:hint="eastAsia" w:ascii="宋体" w:hAnsi="宋体" w:eastAsia="宋体" w:cs="宋体"/>
                <w:sz w:val="21"/>
                <w:szCs w:val="21"/>
                <w:lang w:eastAsia="zh-CN"/>
              </w:rPr>
              <w:sym w:font="Wingdings" w:char="00FE"/>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设备最高投标限价</w:t>
            </w:r>
          </w:p>
        </w:tc>
        <w:tc>
          <w:tcPr>
            <w:tcW w:w="7737" w:type="dxa"/>
            <w:gridSpan w:val="3"/>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9.8</w:t>
            </w: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2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7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主机</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可直接与医院影像系统进行dicom连接，无需科室额外数据接口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程序兼容</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兼容CT、MRI、CR、DR、ECT、 DSA、PET/CT、PET/MR等多种病人报告信息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276" w:type="dxa"/>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分辨率</w:t>
            </w:r>
          </w:p>
        </w:tc>
        <w:tc>
          <w:tcPr>
            <w:tcW w:w="77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1200X2400dpi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0"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打印及传输速度</w:t>
            </w:r>
          </w:p>
        </w:tc>
        <w:tc>
          <w:tcPr>
            <w:tcW w:w="77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每分钟30张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9"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纸张类型</w:t>
            </w:r>
          </w:p>
        </w:tc>
        <w:tc>
          <w:tcPr>
            <w:tcW w:w="7796" w:type="dxa"/>
            <w:gridSpan w:val="3"/>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支持彩色纸质胶片打印，纸质胶片厚度52到300gsm的纸张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6</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打印类型</w:t>
            </w:r>
          </w:p>
        </w:tc>
        <w:tc>
          <w:tcPr>
            <w:tcW w:w="7796" w:type="dxa"/>
            <w:gridSpan w:val="3"/>
            <w:tcBorders>
              <w:top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可实现条码自助打印报告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取报告方式</w:t>
            </w:r>
          </w:p>
        </w:tc>
        <w:tc>
          <w:tcPr>
            <w:tcW w:w="7796" w:type="dxa"/>
            <w:gridSpan w:val="3"/>
            <w:tcBorders>
              <w:top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条形码/二维码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796" w:type="dxa"/>
            <w:gridSpan w:val="3"/>
            <w:tcBorders>
              <w:top w:val="single" w:color="auto" w:sz="4" w:space="0"/>
            </w:tcBorders>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整机免费质保3年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耗材技术参数要求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2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796" w:type="dxa"/>
            <w:gridSpan w:val="3"/>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耗材名称</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图像彩色打印纸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基本要求</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规格：A3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厚度：180g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08" w:hRule="atLeast"/>
          <w:jc w:val="center"/>
        </w:trPr>
        <w:tc>
          <w:tcPr>
            <w:tcW w:w="776" w:type="dxa"/>
            <w:vMerge w:val="continue"/>
            <w:vAlign w:val="center"/>
          </w:tcPr>
          <w:p>
            <w:pPr>
              <w:jc w:val="center"/>
              <w:rPr>
                <w:rFonts w:hint="eastAsia" w:ascii="宋体" w:hAnsi="宋体" w:eastAsia="宋体" w:cs="宋体"/>
                <w:b w:val="0"/>
                <w:bCs w:val="0"/>
                <w:sz w:val="21"/>
                <w:szCs w:val="21"/>
              </w:rPr>
            </w:pPr>
          </w:p>
        </w:tc>
        <w:tc>
          <w:tcPr>
            <w:tcW w:w="1276" w:type="dxa"/>
            <w:vMerge w:val="continue"/>
            <w:vAlign w:val="center"/>
          </w:tcPr>
          <w:p>
            <w:pPr>
              <w:jc w:val="center"/>
              <w:rPr>
                <w:rFonts w:hint="eastAsia" w:ascii="宋体" w:hAnsi="宋体" w:eastAsia="宋体" w:cs="宋体"/>
                <w:b w:val="0"/>
                <w:bCs w:val="0"/>
                <w:sz w:val="21"/>
                <w:szCs w:val="21"/>
              </w:rPr>
            </w:pPr>
          </w:p>
        </w:tc>
        <w:tc>
          <w:tcPr>
            <w:tcW w:w="77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一类医疗备案凭证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耗材要求</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耗材单独报价，并提供省阳采价格截图或其他地区供货价格证明文件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1、耗材使用过程中出现效果不佳，需批量更换同数量耗材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2、随时安排技术人员进行现场指导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p>
        </w:tc>
        <w:tc>
          <w:tcPr>
            <w:tcW w:w="12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年使用量</w:t>
            </w:r>
          </w:p>
        </w:tc>
        <w:tc>
          <w:tcPr>
            <w:tcW w:w="7796" w:type="dxa"/>
            <w:gridSpan w:val="3"/>
            <w:vAlign w:val="center"/>
          </w:tcPr>
          <w:p>
            <w:pPr>
              <w:rPr>
                <w:rFonts w:hint="eastAsia" w:ascii="宋体" w:hAnsi="宋体" w:eastAsia="宋体" w:cs="宋体"/>
                <w:sz w:val="21"/>
                <w:szCs w:val="21"/>
              </w:rPr>
            </w:pPr>
            <w:r>
              <w:rPr>
                <w:rFonts w:hint="eastAsia" w:ascii="宋体" w:hAnsi="宋体" w:eastAsia="宋体" w:cs="宋体"/>
                <w:sz w:val="21"/>
                <w:szCs w:val="21"/>
              </w:rPr>
              <w:t>约</w:t>
            </w:r>
            <w:r>
              <w:rPr>
                <w:rFonts w:hint="eastAsia" w:ascii="宋体" w:hAnsi="宋体" w:eastAsia="宋体" w:cs="宋体"/>
                <w:sz w:val="21"/>
                <w:szCs w:val="21"/>
                <w:lang w:val="en-US" w:eastAsia="zh-CN"/>
              </w:rPr>
              <w:t>16.72</w:t>
            </w:r>
            <w:r>
              <w:rPr>
                <w:rFonts w:hint="eastAsia" w:ascii="宋体" w:hAnsi="宋体" w:eastAsia="宋体" w:cs="宋体"/>
                <w:sz w:val="21"/>
                <w:szCs w:val="21"/>
              </w:rPr>
              <w:t>万元人民币。</w:t>
            </w:r>
          </w:p>
        </w:tc>
      </w:tr>
    </w:tbl>
    <w:p>
      <w:pPr>
        <w:widowControl/>
        <w:jc w:val="left"/>
        <w:rPr>
          <w:rFonts w:ascii="宋体" w:hAnsi="宋体"/>
          <w:sz w:val="21"/>
          <w:szCs w:val="21"/>
        </w:rPr>
      </w:pPr>
    </w:p>
    <w:p>
      <w:pPr>
        <w:widowControl/>
        <w:jc w:val="left"/>
        <w:rPr>
          <w:rFonts w:ascii="宋体" w:hAnsi="宋体"/>
          <w:sz w:val="21"/>
          <w:szCs w:val="21"/>
        </w:rPr>
      </w:pPr>
      <w:r>
        <w:rPr>
          <w:rFonts w:ascii="宋体" w:hAnsi="宋体"/>
          <w:sz w:val="21"/>
          <w:szCs w:val="21"/>
        </w:rPr>
        <w:br w:type="page"/>
      </w:r>
    </w:p>
    <w:p>
      <w:pPr>
        <w:spacing w:line="360" w:lineRule="auto"/>
        <w:jc w:val="left"/>
        <w:outlineLvl w:val="1"/>
        <w:rPr>
          <w:rFonts w:hint="eastAsia" w:ascii="宋体" w:hAnsi="宋体" w:eastAsia="宋体" w:cs="黑体"/>
          <w:sz w:val="21"/>
          <w:szCs w:val="21"/>
          <w:lang w:val="en-US" w:eastAsia="zh-CN"/>
        </w:rPr>
      </w:pPr>
      <w:r>
        <w:rPr>
          <w:rFonts w:hint="eastAsia" w:ascii="宋体" w:hAnsi="宋体"/>
          <w:sz w:val="21"/>
          <w:szCs w:val="21"/>
        </w:rPr>
        <w:t>2022-JKMTDY-W125</w:t>
      </w:r>
      <w:r>
        <w:rPr>
          <w:rFonts w:hint="eastAsia" w:ascii="宋体" w:hAnsi="宋体"/>
          <w:sz w:val="21"/>
          <w:szCs w:val="21"/>
          <w:lang w:val="en-US" w:eastAsia="zh-CN"/>
        </w:rPr>
        <w:t>4</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76"/>
        <w:gridCol w:w="68"/>
        <w:gridCol w:w="2200"/>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设备名称</w:t>
            </w:r>
          </w:p>
        </w:tc>
        <w:tc>
          <w:tcPr>
            <w:tcW w:w="7737" w:type="dxa"/>
            <w:gridSpan w:val="3"/>
            <w:vAlign w:val="center"/>
          </w:tcPr>
          <w:p>
            <w:pPr>
              <w:widowControl/>
              <w:rPr>
                <w:rFonts w:hint="eastAsia" w:ascii="宋体" w:hAnsi="宋体" w:eastAsia="宋体" w:cs="宋体"/>
                <w:b w:val="0"/>
                <w:bCs w:val="0"/>
                <w:sz w:val="21"/>
                <w:szCs w:val="21"/>
              </w:rPr>
            </w:pPr>
            <w:r>
              <w:rPr>
                <w:rFonts w:hint="eastAsia" w:ascii="宋体" w:hAnsi="宋体" w:eastAsia="宋体" w:cs="宋体"/>
                <w:b w:val="0"/>
                <w:bCs w:val="0"/>
                <w:sz w:val="21"/>
                <w:szCs w:val="21"/>
              </w:rPr>
              <w:t>手术动力装置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设备数量</w:t>
            </w:r>
          </w:p>
        </w:tc>
        <w:tc>
          <w:tcPr>
            <w:tcW w:w="220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5537"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sym w:font="Wingdings" w:char="00FE"/>
            </w:r>
            <w:r>
              <w:rPr>
                <w:rFonts w:hint="eastAsia" w:ascii="宋体" w:hAnsi="宋体" w:eastAsia="宋体" w:cs="宋体"/>
                <w:b w:val="0"/>
                <w:bCs w:val="0"/>
                <w:sz w:val="21"/>
                <w:szCs w:val="21"/>
              </w:rPr>
              <w:t xml:space="preserve">国产  </w:t>
            </w:r>
            <w:r>
              <w:rPr>
                <w:rFonts w:hint="eastAsia" w:ascii="宋体" w:hAnsi="宋体" w:eastAsia="宋体" w:cs="宋体"/>
                <w:b w:val="0"/>
                <w:bCs w:val="0"/>
                <w:sz w:val="21"/>
                <w:szCs w:val="21"/>
              </w:rPr>
              <w:sym w:font="Wingdings" w:char="00A8"/>
            </w:r>
            <w:r>
              <w:rPr>
                <w:rFonts w:hint="eastAsia" w:ascii="宋体" w:hAnsi="宋体" w:eastAsia="宋体" w:cs="宋体"/>
                <w:b w:val="0"/>
                <w:bCs w:val="0"/>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设备最高投标限价</w:t>
            </w:r>
          </w:p>
        </w:tc>
        <w:tc>
          <w:tcPr>
            <w:tcW w:w="7737" w:type="dxa"/>
            <w:gridSpan w:val="3"/>
            <w:vAlign w:val="center"/>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32.9</w:t>
            </w:r>
            <w:r>
              <w:rPr>
                <w:rFonts w:hint="eastAsia" w:ascii="宋体" w:hAnsi="宋体" w:eastAsia="宋体" w:cs="宋体"/>
                <w:b w:val="0"/>
                <w:bCs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2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指标名称</w:t>
            </w:r>
          </w:p>
        </w:tc>
        <w:tc>
          <w:tcPr>
            <w:tcW w:w="7796"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主机</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 微电脑控制平台，恒速驱动控制系统，负载速降≤5%；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12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 具有电机自动识别功能；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12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 彩色液晶触摸菜单操作界面；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12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 具有刀具选择功能，也可以在通用模式下使用；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12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 可设置最高转速，脚踏开关操控实现无级变速；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12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 BF型电气安全设计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脚踏开关</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2.1 无级调速，转速可按要求设定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12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2.2 IPX8防水设计，防滑、防侧翻；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276" w:type="dxa"/>
            <w:vMerge w:val="restart"/>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微电机</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3.1 可高温高压消毒；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12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3.2 开颅用微电机，峰值输出功率达大于或等于150W，转速小于或等于40000rpm/min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1276" w:type="dxa"/>
            <w:vMerge w:val="continue"/>
            <w:vAlign w:val="center"/>
          </w:tcPr>
          <w:p>
            <w:pPr>
              <w:jc w:val="center"/>
              <w:rPr>
                <w:rFonts w:hint="eastAsia" w:ascii="宋体" w:hAnsi="宋体" w:eastAsia="宋体" w:cs="宋体"/>
                <w:b w:val="0"/>
                <w:bCs w:val="0"/>
                <w:i w:val="0"/>
                <w:iCs w:val="0"/>
                <w:color w:val="000000"/>
                <w:kern w:val="0"/>
                <w:sz w:val="21"/>
                <w:szCs w:val="21"/>
                <w:u w:val="none"/>
                <w:lang w:val="en-US" w:eastAsia="zh-CN" w:bidi="ar"/>
              </w:rPr>
            </w:pP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3.3 自动风冷技术</w:t>
            </w:r>
            <w:r>
              <w:rPr>
                <w:rFonts w:hint="eastAsia" w:ascii="宋体" w:hAnsi="宋体" w:eastAsia="宋体" w:cs="宋体"/>
                <w:b w:val="0"/>
                <w:bCs w:val="0"/>
                <w:i w:val="0"/>
                <w:iCs w:val="0"/>
                <w:color w:val="FF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噪音＜65dB，工作最高温度＜40℃；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颅骨钻手柄</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轻质合金材料制造，可高温高压消毒；</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带手把，转速为0-1500rpm/min，最高转速时空载噪音&lt;66dB。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颅骨铣手机</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表面防滑花纹设计，可握持式或执笔式操作；</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最高转速时，空载噪音&lt;67dB，工作最高温度&lt;40℃；</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快速铣刀安装接口；</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脑膜护鞘可360°自由旋转设计</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无级调速，最高输出转速大于等于30000r/min；</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可高温高压消毒。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磨微电机</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接插方便快捷，可高温高压消毒；</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自动风冷技术，温升小，噪音低。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磨钻手柄</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接插方便快捷，可高温高压消毒；</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执笔式、防滑结构设计；</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最高转速80000r/min，可正反转，低发热、最高转速时空载噪音&lt;67dB，长时间运行最高热平衡温度&lt;38℃；</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磨钻手柄与微电机连接具有锁定功能，防止任意旋转，适合精细手术操作。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配置</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可重复磨钻头12个，台车1台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★9</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整机免费质保3年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耗材技术参数要求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2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指标名称</w:t>
            </w:r>
          </w:p>
        </w:tc>
        <w:tc>
          <w:tcPr>
            <w:tcW w:w="7796"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耗材名称</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颅骨钻头、铣刀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颅骨钻头</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机械式钻穿即停功能；转速：大于或等于1500rpm/min</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快装卸接口设计；</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钻头规格：可满足小孩和成人的各种规格</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刃口采用优质不锈钢HRC58以上高硬度热处理；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铣刀</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专利螺旋密封功能，防止体液进入铣手机内部，增强耐用性；</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直刃设计，锋利耐用，铣切轻松快捷；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08"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耗材要求</w:t>
            </w:r>
          </w:p>
        </w:tc>
        <w:tc>
          <w:tcPr>
            <w:tcW w:w="77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耗材单独报价，并提供省阳采价格截图或其他地区供货价格证明文件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1、耗材使用过程中出现效果不佳，需批量更换同数量耗材</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2、随时安排技术人员进行现场指导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6</w:t>
            </w:r>
          </w:p>
        </w:tc>
        <w:tc>
          <w:tcPr>
            <w:tcW w:w="12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年使用量</w:t>
            </w:r>
          </w:p>
        </w:tc>
        <w:tc>
          <w:tcPr>
            <w:tcW w:w="7796" w:type="dxa"/>
            <w:gridSpan w:val="3"/>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约</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万元人民币。</w:t>
            </w:r>
          </w:p>
        </w:tc>
      </w:tr>
    </w:tbl>
    <w:p>
      <w:pPr>
        <w:widowControl/>
        <w:jc w:val="left"/>
        <w:rPr>
          <w:rFonts w:ascii="宋体" w:hAnsi="宋体"/>
          <w:sz w:val="21"/>
          <w:szCs w:val="21"/>
        </w:rPr>
      </w:pPr>
    </w:p>
    <w:p>
      <w:pPr>
        <w:rPr>
          <w:rFonts w:ascii="宋体" w:hAnsi="宋体"/>
          <w:sz w:val="21"/>
          <w:szCs w:val="21"/>
        </w:rPr>
      </w:pPr>
      <w:r>
        <w:rPr>
          <w:rFonts w:ascii="宋体" w:hAnsi="宋体"/>
          <w:sz w:val="21"/>
          <w:szCs w:val="21"/>
        </w:rPr>
        <w:br w:type="page"/>
      </w:r>
    </w:p>
    <w:p>
      <w:pPr>
        <w:spacing w:line="360" w:lineRule="auto"/>
        <w:jc w:val="left"/>
        <w:outlineLvl w:val="1"/>
        <w:rPr>
          <w:rFonts w:hint="eastAsia" w:ascii="宋体" w:hAnsi="宋体" w:eastAsia="宋体" w:cs="黑体"/>
          <w:sz w:val="21"/>
          <w:szCs w:val="21"/>
          <w:lang w:val="en-US" w:eastAsia="zh-CN"/>
        </w:rPr>
      </w:pPr>
      <w:r>
        <w:rPr>
          <w:rFonts w:hint="eastAsia" w:ascii="宋体" w:hAnsi="宋体"/>
          <w:sz w:val="21"/>
          <w:szCs w:val="21"/>
        </w:rPr>
        <w:t>2022-JKMTDY-W125</w:t>
      </w:r>
      <w:r>
        <w:rPr>
          <w:rFonts w:hint="eastAsia" w:ascii="宋体" w:hAnsi="宋体"/>
          <w:sz w:val="21"/>
          <w:szCs w:val="21"/>
          <w:lang w:val="en-US" w:eastAsia="zh-CN"/>
        </w:rPr>
        <w:t>5</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276"/>
        <w:gridCol w:w="68"/>
        <w:gridCol w:w="2200"/>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设备名称</w:t>
            </w:r>
          </w:p>
        </w:tc>
        <w:tc>
          <w:tcPr>
            <w:tcW w:w="7737" w:type="dxa"/>
            <w:gridSpan w:val="3"/>
            <w:vAlign w:val="center"/>
          </w:tcPr>
          <w:p>
            <w:pPr>
              <w:widowControl/>
              <w:rPr>
                <w:rFonts w:hint="eastAsia" w:ascii="宋体" w:hAnsi="宋体" w:eastAsia="宋体" w:cs="宋体"/>
                <w:b w:val="0"/>
                <w:bCs w:val="0"/>
                <w:sz w:val="21"/>
                <w:szCs w:val="21"/>
              </w:rPr>
            </w:pPr>
            <w:r>
              <w:rPr>
                <w:rFonts w:hint="eastAsia" w:ascii="宋体" w:hAnsi="宋体" w:eastAsia="宋体" w:cs="宋体"/>
                <w:b w:val="0"/>
                <w:bCs w:val="0"/>
                <w:sz w:val="21"/>
                <w:szCs w:val="21"/>
              </w:rPr>
              <w:t>生理参数诱发诊断系统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设备数量</w:t>
            </w:r>
          </w:p>
        </w:tc>
        <w:tc>
          <w:tcPr>
            <w:tcW w:w="2200"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1</w:t>
            </w:r>
          </w:p>
        </w:tc>
        <w:tc>
          <w:tcPr>
            <w:tcW w:w="5537"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sym w:font="Wingdings" w:char="00FE"/>
            </w:r>
            <w:r>
              <w:rPr>
                <w:rFonts w:hint="eastAsia" w:ascii="宋体" w:hAnsi="宋体" w:eastAsia="宋体" w:cs="宋体"/>
                <w:b w:val="0"/>
                <w:bCs w:val="0"/>
                <w:sz w:val="21"/>
                <w:szCs w:val="21"/>
              </w:rPr>
              <w:t xml:space="preserve">国产  </w:t>
            </w:r>
            <w:r>
              <w:rPr>
                <w:rFonts w:hint="eastAsia" w:ascii="宋体" w:hAnsi="宋体" w:eastAsia="宋体" w:cs="宋体"/>
                <w:b w:val="0"/>
                <w:bCs w:val="0"/>
                <w:sz w:val="21"/>
                <w:szCs w:val="21"/>
              </w:rPr>
              <w:sym w:font="Wingdings" w:char="00A8"/>
            </w:r>
            <w:r>
              <w:rPr>
                <w:rFonts w:hint="eastAsia" w:ascii="宋体" w:hAnsi="宋体" w:eastAsia="宋体" w:cs="宋体"/>
                <w:b w:val="0"/>
                <w:bCs w:val="0"/>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设备最高投标限价</w:t>
            </w:r>
          </w:p>
        </w:tc>
        <w:tc>
          <w:tcPr>
            <w:tcW w:w="7737" w:type="dxa"/>
            <w:gridSpan w:val="3"/>
            <w:vAlign w:val="center"/>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40</w:t>
            </w:r>
            <w:r>
              <w:rPr>
                <w:rFonts w:hint="eastAsia" w:ascii="宋体" w:hAnsi="宋体" w:eastAsia="宋体" w:cs="宋体"/>
                <w:b w:val="0"/>
                <w:bCs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2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指标名称</w:t>
            </w:r>
          </w:p>
        </w:tc>
        <w:tc>
          <w:tcPr>
            <w:tcW w:w="7796"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吸吮压力显示范围</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0kPa～30kPa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分辨率</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压力分辨率0.01kPa，时间分辨率1s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吸吮压力测量误差</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连接导管尺寸</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长度≥150mm，内径≤3mm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程序多样化</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可根据需求更改，定制多种染色程序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吸吮压力监测参数</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包括:实时吸吮压力(KPa)、最大吸吮压力(KPa)、平均吸吮压力(KPa)、吸吮持续时间(s)、吸吮间隔时间(s)、吸吮频率(次/min)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无线通讯</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以Wi-Fi形式与主机通讯，可在10米内直线传输。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软件功能</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应在工作界面，点击“设置”按键，显示软件完整版本信息。软件应能实现保存、读出及输出功能。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配置</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电脑一台，打印机一台，台车一台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局域网</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公司负责安装局域网及终身质保网路通畅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整机免费质保5年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耗材技术参数要求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2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指标名称</w:t>
            </w:r>
          </w:p>
        </w:tc>
        <w:tc>
          <w:tcPr>
            <w:tcW w:w="7796" w:type="dxa"/>
            <w:gridSpan w:val="3"/>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耗材名称</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测压套件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资质要求</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具有国家医疗器械注册证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耗材要求</w:t>
            </w:r>
          </w:p>
        </w:tc>
        <w:tc>
          <w:tcPr>
            <w:tcW w:w="7796" w:type="dxa"/>
            <w:gridSpan w:val="3"/>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耗材单独报价，并提供省阳采价格截图或其他地区供货价格证明文件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08"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lang w:val="en-US"/>
              </w:rPr>
            </w:pPr>
            <w:r>
              <w:rPr>
                <w:rFonts w:hint="eastAsia" w:ascii="宋体" w:hAnsi="宋体" w:eastAsia="宋体" w:cs="宋体"/>
                <w:b w:val="0"/>
                <w:bCs w:val="0"/>
                <w:i w:val="0"/>
                <w:iCs w:val="0"/>
                <w:color w:val="000000"/>
                <w:kern w:val="0"/>
                <w:sz w:val="21"/>
                <w:szCs w:val="21"/>
                <w:u w:val="none"/>
                <w:lang w:val="en-US" w:eastAsia="zh-CN" w:bidi="ar"/>
              </w:rPr>
              <w:t>★4</w:t>
            </w:r>
          </w:p>
        </w:tc>
        <w:tc>
          <w:tcPr>
            <w:tcW w:w="12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79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1、耗材使用过程中出现效果不佳，需批量更换同数量耗材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2、随时安排技术人员进行现场指导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p>
        </w:tc>
        <w:tc>
          <w:tcPr>
            <w:tcW w:w="12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年使用量</w:t>
            </w:r>
          </w:p>
        </w:tc>
        <w:tc>
          <w:tcPr>
            <w:tcW w:w="7796" w:type="dxa"/>
            <w:gridSpan w:val="3"/>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约</w:t>
            </w:r>
            <w:r>
              <w:rPr>
                <w:rFonts w:hint="eastAsia" w:ascii="宋体" w:hAnsi="宋体" w:eastAsia="宋体" w:cs="宋体"/>
                <w:b w:val="0"/>
                <w:bCs w:val="0"/>
                <w:sz w:val="21"/>
                <w:szCs w:val="21"/>
                <w:lang w:val="en-US" w:eastAsia="zh-CN"/>
              </w:rPr>
              <w:t>220</w:t>
            </w:r>
            <w:r>
              <w:rPr>
                <w:rFonts w:hint="eastAsia" w:ascii="宋体" w:hAnsi="宋体" w:eastAsia="宋体" w:cs="宋体"/>
                <w:b w:val="0"/>
                <w:bCs w:val="0"/>
                <w:sz w:val="21"/>
                <w:szCs w:val="21"/>
              </w:rPr>
              <w:t>万元人民币。</w:t>
            </w:r>
          </w:p>
        </w:tc>
      </w:tr>
    </w:tbl>
    <w:p>
      <w:pPr>
        <w:rPr>
          <w:rFonts w:ascii="宋体" w:hAnsi="宋体"/>
          <w:sz w:val="21"/>
          <w:szCs w:val="21"/>
        </w:rPr>
      </w:pPr>
      <w:r>
        <w:rPr>
          <w:rFonts w:ascii="宋体" w:hAnsi="宋体"/>
          <w:sz w:val="21"/>
          <w:szCs w:val="21"/>
        </w:rPr>
        <w:br w:type="page"/>
      </w:r>
    </w:p>
    <w:p>
      <w:pPr>
        <w:spacing w:line="360" w:lineRule="auto"/>
        <w:jc w:val="left"/>
        <w:outlineLvl w:val="1"/>
        <w:rPr>
          <w:rFonts w:hint="eastAsia" w:ascii="宋体" w:hAnsi="宋体" w:eastAsia="宋体" w:cs="黑体"/>
          <w:sz w:val="21"/>
          <w:szCs w:val="21"/>
          <w:lang w:val="en-US" w:eastAsia="zh-CN"/>
        </w:rPr>
      </w:pPr>
      <w:r>
        <w:rPr>
          <w:rFonts w:hint="eastAsia" w:ascii="宋体" w:hAnsi="宋体"/>
          <w:sz w:val="21"/>
          <w:szCs w:val="21"/>
        </w:rPr>
        <w:t>2022-JKMTDY-W125</w:t>
      </w:r>
      <w:r>
        <w:rPr>
          <w:rFonts w:hint="eastAsia" w:ascii="宋体" w:hAnsi="宋体"/>
          <w:sz w:val="21"/>
          <w:szCs w:val="21"/>
          <w:lang w:val="en-US" w:eastAsia="zh-CN"/>
        </w:rPr>
        <w:t>6</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44"/>
        <w:gridCol w:w="457"/>
        <w:gridCol w:w="1743"/>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设备名称</w:t>
            </w:r>
          </w:p>
        </w:tc>
        <w:tc>
          <w:tcPr>
            <w:tcW w:w="7737" w:type="dxa"/>
            <w:gridSpan w:val="4"/>
            <w:vAlign w:val="center"/>
          </w:tcPr>
          <w:p>
            <w:pPr>
              <w:widowControl/>
              <w:rPr>
                <w:rFonts w:hint="eastAsia" w:ascii="宋体" w:hAnsi="宋体" w:eastAsia="宋体" w:cs="宋体"/>
                <w:b w:val="0"/>
                <w:bCs w:val="0"/>
                <w:sz w:val="21"/>
                <w:szCs w:val="21"/>
              </w:rPr>
            </w:pPr>
            <w:r>
              <w:rPr>
                <w:rFonts w:hint="eastAsia" w:ascii="宋体" w:hAnsi="宋体" w:eastAsia="宋体" w:cs="宋体"/>
                <w:b w:val="0"/>
                <w:bCs w:val="0"/>
                <w:sz w:val="21"/>
                <w:szCs w:val="21"/>
              </w:rPr>
              <w:t>穿戴式动态心电记录仪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设备数量</w:t>
            </w:r>
          </w:p>
        </w:tc>
        <w:tc>
          <w:tcPr>
            <w:tcW w:w="2200" w:type="dxa"/>
            <w:gridSpan w:val="2"/>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5</w:t>
            </w:r>
          </w:p>
        </w:tc>
        <w:tc>
          <w:tcPr>
            <w:tcW w:w="5537"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sym w:font="Wingdings" w:char="00FE"/>
            </w:r>
            <w:r>
              <w:rPr>
                <w:rFonts w:hint="eastAsia" w:ascii="宋体" w:hAnsi="宋体" w:eastAsia="宋体" w:cs="宋体"/>
                <w:b w:val="0"/>
                <w:bCs w:val="0"/>
                <w:sz w:val="21"/>
                <w:szCs w:val="21"/>
              </w:rPr>
              <w:t xml:space="preserve">国产  </w:t>
            </w:r>
            <w:r>
              <w:rPr>
                <w:rFonts w:hint="eastAsia" w:ascii="宋体" w:hAnsi="宋体" w:eastAsia="宋体" w:cs="宋体"/>
                <w:b w:val="0"/>
                <w:bCs w:val="0"/>
                <w:sz w:val="21"/>
                <w:szCs w:val="21"/>
              </w:rPr>
              <w:sym w:font="Wingdings" w:char="00A8"/>
            </w:r>
            <w:r>
              <w:rPr>
                <w:rFonts w:hint="eastAsia" w:ascii="宋体" w:hAnsi="宋体" w:eastAsia="宋体" w:cs="宋体"/>
                <w:b w:val="0"/>
                <w:bCs w:val="0"/>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20"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设备最高投标限价</w:t>
            </w:r>
          </w:p>
        </w:tc>
        <w:tc>
          <w:tcPr>
            <w:tcW w:w="7737" w:type="dxa"/>
            <w:gridSpan w:val="4"/>
            <w:vAlign w:val="center"/>
          </w:tcPr>
          <w:p>
            <w:pPr>
              <w:jc w:val="left"/>
              <w:rPr>
                <w:rFonts w:hint="eastAsia" w:ascii="宋体" w:hAnsi="宋体" w:eastAsia="宋体" w:cs="宋体"/>
                <w:b w:val="0"/>
                <w:bCs w:val="0"/>
                <w:sz w:val="21"/>
                <w:szCs w:val="21"/>
              </w:rPr>
            </w:pPr>
            <w:r>
              <w:rPr>
                <w:rFonts w:hint="eastAsia" w:ascii="宋体" w:hAnsi="宋体" w:eastAsia="宋体" w:cs="宋体"/>
                <w:b w:val="0"/>
                <w:bCs w:val="0"/>
                <w:sz w:val="21"/>
                <w:szCs w:val="21"/>
                <w:lang w:val="en-US" w:eastAsia="zh-CN"/>
              </w:rPr>
              <w:t>4.5</w:t>
            </w:r>
            <w:r>
              <w:rPr>
                <w:rFonts w:hint="eastAsia" w:ascii="宋体" w:hAnsi="宋体" w:eastAsia="宋体" w:cs="宋体"/>
                <w:b w:val="0"/>
                <w:bCs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801"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指标名称</w:t>
            </w:r>
          </w:p>
        </w:tc>
        <w:tc>
          <w:tcPr>
            <w:tcW w:w="7271"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电源电压</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电子电池，输出DC3V±0. 3V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定标信号</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l.0mV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3</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监测时间</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持续检测至少24h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4</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数据传输性能</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室内有效传输距离范围达8米；室外有效传输距离达10米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数据传输准确性</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是否支持断联后自动连接功能</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★7</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动态输入范围</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耐极化电压±300mV,≤10%或50μV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8</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输入阻抗</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★9</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共模抑制</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≥60db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增益精确度</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11</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增益稳定性</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24h不超过3%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★12</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系统噪声</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≤50μV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★13</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频率响应</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0. 67Hz~40Hz的正弦信号，幅度为±3db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14</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最小监测信号</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10Hz, 50 μV正弦信号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15</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计时准确性</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24h内误差≤30s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异常事件实时报警</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声音和图像同时报警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回放功能</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配备，分时片段回放功能，可实时查看心电数据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数据远程分析功能</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配置</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电脑1台，打印机1台，共配穿戴式心电传感器（1导）5套，穿戴式心电传感器（3导）10套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★20</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整机免费质保三年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耗材技术参数要求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1801"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指标名称</w:t>
            </w:r>
          </w:p>
        </w:tc>
        <w:tc>
          <w:tcPr>
            <w:tcW w:w="7271"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耗材名称</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穿戴式心电传感器（1导）、穿戴式心电传感器（3导）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耗材要求</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耗材单独报价，并提供省阳采价格截图或其他地区供货价格证明文件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1801"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售后</w:t>
            </w:r>
          </w:p>
        </w:tc>
        <w:tc>
          <w:tcPr>
            <w:tcW w:w="7271"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1"/>
                <w:szCs w:val="21"/>
                <w:u w:val="none"/>
                <w:lang w:val="en-US" w:eastAsia="zh-CN" w:bidi="ar"/>
              </w:rPr>
              <w:t>1、耗材使用过程中出现效果不佳，需批量更换同数量耗材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2、随时安排技术人员进行现场指导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5</w:t>
            </w:r>
          </w:p>
        </w:tc>
        <w:tc>
          <w:tcPr>
            <w:tcW w:w="1801" w:type="dxa"/>
            <w:gridSpan w:val="2"/>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年使用量</w:t>
            </w:r>
          </w:p>
        </w:tc>
        <w:tc>
          <w:tcPr>
            <w:tcW w:w="7271" w:type="dxa"/>
            <w:gridSpan w:val="2"/>
            <w:vAlign w:val="center"/>
          </w:tcPr>
          <w:p>
            <w:pPr>
              <w:rPr>
                <w:rFonts w:hint="eastAsia" w:ascii="宋体" w:hAnsi="宋体" w:eastAsia="宋体" w:cs="宋体"/>
                <w:b w:val="0"/>
                <w:bCs w:val="0"/>
                <w:sz w:val="21"/>
                <w:szCs w:val="21"/>
              </w:rPr>
            </w:pPr>
            <w:r>
              <w:rPr>
                <w:rFonts w:hint="eastAsia" w:ascii="宋体" w:hAnsi="宋体" w:eastAsia="宋体" w:cs="宋体"/>
                <w:b w:val="0"/>
                <w:bCs w:val="0"/>
                <w:sz w:val="21"/>
                <w:szCs w:val="21"/>
              </w:rPr>
              <w:t>穿戴式心电传感器（1导）：约</w:t>
            </w:r>
            <w:r>
              <w:rPr>
                <w:rFonts w:hint="eastAsia" w:ascii="宋体" w:hAnsi="宋体" w:eastAsia="宋体" w:cs="宋体"/>
                <w:b w:val="0"/>
                <w:bCs w:val="0"/>
                <w:sz w:val="21"/>
                <w:szCs w:val="21"/>
                <w:lang w:val="en-US" w:eastAsia="zh-CN"/>
              </w:rPr>
              <w:t>60</w:t>
            </w:r>
            <w:r>
              <w:rPr>
                <w:rFonts w:hint="eastAsia" w:ascii="宋体" w:hAnsi="宋体" w:eastAsia="宋体" w:cs="宋体"/>
                <w:b w:val="0"/>
                <w:bCs w:val="0"/>
                <w:sz w:val="21"/>
                <w:szCs w:val="21"/>
              </w:rPr>
              <w:t>万元人民币</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穿戴式心电传感器（3导）：约</w:t>
            </w:r>
            <w:r>
              <w:rPr>
                <w:rFonts w:hint="eastAsia" w:ascii="宋体" w:hAnsi="宋体" w:eastAsia="宋体" w:cs="宋体"/>
                <w:b w:val="0"/>
                <w:bCs w:val="0"/>
                <w:sz w:val="21"/>
                <w:szCs w:val="21"/>
                <w:lang w:val="en-US" w:eastAsia="zh-CN"/>
              </w:rPr>
              <w:t>14</w:t>
            </w:r>
            <w:r>
              <w:rPr>
                <w:rFonts w:hint="eastAsia" w:ascii="宋体" w:hAnsi="宋体" w:eastAsia="宋体" w:cs="宋体"/>
                <w:b w:val="0"/>
                <w:bCs w:val="0"/>
                <w:sz w:val="21"/>
                <w:szCs w:val="21"/>
              </w:rPr>
              <w:t>万元人民币</w:t>
            </w:r>
          </w:p>
        </w:tc>
      </w:tr>
    </w:tbl>
    <w:p>
      <w:pPr>
        <w:rPr>
          <w:rFonts w:ascii="宋体" w:hAnsi="宋体"/>
          <w:sz w:val="21"/>
          <w:szCs w:val="21"/>
        </w:rPr>
      </w:pPr>
      <w:r>
        <w:rPr>
          <w:rFonts w:ascii="宋体" w:hAnsi="宋体"/>
          <w:sz w:val="21"/>
          <w:szCs w:val="21"/>
        </w:rPr>
        <w:br w:type="page"/>
      </w:r>
    </w:p>
    <w:p>
      <w:pPr>
        <w:spacing w:line="360" w:lineRule="auto"/>
        <w:jc w:val="left"/>
        <w:outlineLvl w:val="1"/>
        <w:rPr>
          <w:rFonts w:ascii="宋体" w:hAnsi="宋体" w:cs="黑体"/>
          <w:sz w:val="21"/>
          <w:szCs w:val="21"/>
        </w:rPr>
      </w:pPr>
      <w:r>
        <w:rPr>
          <w:rFonts w:hint="eastAsia" w:ascii="宋体" w:hAnsi="宋体"/>
          <w:sz w:val="21"/>
          <w:szCs w:val="21"/>
        </w:rPr>
        <w:t>2022-JKMTDY-W1257</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44"/>
        <w:gridCol w:w="422"/>
        <w:gridCol w:w="1778"/>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微酸性次氯酸消毒系统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国产  </w:t>
            </w:r>
            <w:r>
              <w:rPr>
                <w:rFonts w:hint="eastAsia" w:ascii="宋体" w:hAnsi="宋体" w:eastAsia="宋体" w:cs="宋体"/>
                <w:sz w:val="21"/>
                <w:szCs w:val="21"/>
                <w:lang w:eastAsia="zh-CN"/>
              </w:rPr>
              <w:sym w:font="Wingdings" w:char="00FE"/>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eastAsia="宋体" w:cs="宋体"/>
                <w:sz w:val="21"/>
                <w:szCs w:val="21"/>
              </w:rPr>
              <w:t>38万元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6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30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制水量要求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微酸性次氯酸水生成量：≥70L/H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＃2</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有效氯浓度要求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PH 值：4.0-6.5，50 mg/L -80mg/L（ppm)，需国家权威检测机构出具的检测报告（整机送检，现场制水检验的检测报告）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＃3</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杀菌效果</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5分钟，10分钟，15分钟的杀菌效果。大肠杆菌：</w:t>
            </w:r>
            <w:r>
              <w:rPr>
                <w:rStyle w:val="118"/>
                <w:lang w:val="en-US" w:eastAsia="zh-CN" w:bidi="ar"/>
              </w:rPr>
              <w:t>平均杀灭对数值＞3.00；金黄色葡萄球菌：平均杀灭对数值＞3.00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★4</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喷雾精细化要求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喷雾平均粒子直径：7.6μm-11.2μm，能够喷射超细微雾气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＃5</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喷雾有效性要求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喷雾有效距离≥2.5m；药液喷雾量：3 cc/min -35cc/min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6</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连续工作时间要求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微酸性次氯酸水生成器≥24小时；移动式超微细喷雾装置连续喷液≥4小时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＃7</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运转时噪音要求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整个系统运行状态正常情况下≤58db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8</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操控系统要求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可进行个性化的使用设定，可固定设置喷雾时间和喷雾间隔时间等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＃9</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安全性试验</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单次口服药物毒性、皮肤单次刺激性、皮肤重覆刺激性、眼刺激、皮肤敏感、细胞毒性试验和细菌基因突变测试（Ames test）等测试，皆为阴性反应，安全性高（需国家权威检测机构出具的检测报告）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w:t>
            </w:r>
            <w:r>
              <w:rPr>
                <w:rFonts w:hint="eastAsia" w:ascii="宋体" w:hAnsi="宋体" w:cs="宋体"/>
                <w:b w:val="0"/>
                <w:bCs w:val="0"/>
                <w:i w:val="0"/>
                <w:iCs w:val="0"/>
                <w:color w:val="000000"/>
                <w:kern w:val="0"/>
                <w:sz w:val="20"/>
                <w:szCs w:val="20"/>
                <w:u w:val="none"/>
                <w:lang w:val="en-US" w:eastAsia="zh-CN" w:bidi="ar"/>
              </w:rPr>
              <w:t>0</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售后</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整机免费质保3年</w:t>
            </w:r>
          </w:p>
        </w:tc>
      </w:tr>
    </w:tbl>
    <w:p>
      <w:pPr>
        <w:spacing w:line="360" w:lineRule="auto"/>
        <w:jc w:val="left"/>
        <w:outlineLvl w:val="1"/>
        <w:rPr>
          <w:rFonts w:ascii="宋体" w:hAnsi="宋体" w:cs="黑体"/>
          <w:sz w:val="21"/>
          <w:szCs w:val="21"/>
        </w:rPr>
      </w:pPr>
      <w:r>
        <w:rPr>
          <w:rFonts w:hint="eastAsia" w:ascii="宋体" w:hAnsi="宋体"/>
          <w:sz w:val="21"/>
          <w:szCs w:val="21"/>
        </w:rPr>
        <w:br w:type="page"/>
      </w:r>
      <w:r>
        <w:rPr>
          <w:rFonts w:hint="eastAsia" w:ascii="宋体" w:hAnsi="宋体"/>
          <w:sz w:val="21"/>
          <w:szCs w:val="21"/>
        </w:rPr>
        <w:t>2022-JKMTDY-W1258</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44"/>
        <w:gridCol w:w="422"/>
        <w:gridCol w:w="1778"/>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细胞磁力洗板机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国产  </w:t>
            </w:r>
            <w:r>
              <w:rPr>
                <w:rFonts w:hint="eastAsia" w:ascii="宋体" w:hAnsi="宋体" w:eastAsia="宋体" w:cs="宋体"/>
                <w:sz w:val="21"/>
                <w:szCs w:val="21"/>
                <w:lang w:eastAsia="zh-CN"/>
              </w:rPr>
              <w:sym w:font="Wingdings" w:char="00FE"/>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cs="宋体"/>
                <w:sz w:val="21"/>
                <w:szCs w:val="21"/>
                <w:lang w:val="en-US" w:eastAsia="zh-CN"/>
              </w:rPr>
              <w:t>20</w:t>
            </w: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6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30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清洗类型</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同时兼任ELISA清洗和细胞清洗，清洗细胞、磁珠清洗无需更换清洗头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★2</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洗头类型</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同一洗头需兼容洗涤96和384孔板，中间无需更换洗头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#3</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防堵功能</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配置具备自动针孔防堵功能，闲置时自动灌注和浸泡清洗头功能，无需更换吸液加样头，即可清洗96和384孔板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#4</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注液功能</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具备逐滴注液模式，减少贴壁细胞脱落液面；亦具备追随模式，加液时注液针可随液面自动上升，减少液体对板底冲击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5</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洗液通道</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≥2通道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#6</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96/384孔板清洗时间</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300µL条件下，清洗循环≤16秒，三个循环≤25秒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★7</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配机载触摸屏</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触摸屏操作（带有触控笔）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★8</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废液液面监控</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具有自动压力感应液面探测系统，非传统浮子传感器，避免废液过风险，无需清洁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9</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洗液残留量</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≤2µL/孔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10</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注液准确度</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≤4% （300µL，96孔板；100µL，384孔板）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★11</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配置</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96&amp;384通道洗板头1套；磁力板1套；真空抽滤模块1台；洗液桶2个；品牌电脑1台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★12</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售后</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整机免费质保3年</w:t>
            </w:r>
          </w:p>
        </w:tc>
      </w:tr>
    </w:tbl>
    <w:p>
      <w:pPr>
        <w:spacing w:line="360" w:lineRule="auto"/>
        <w:jc w:val="left"/>
        <w:outlineLvl w:val="1"/>
        <w:rPr>
          <w:rFonts w:ascii="宋体" w:hAnsi="宋体" w:cs="黑体"/>
          <w:sz w:val="21"/>
          <w:szCs w:val="21"/>
        </w:rPr>
      </w:pPr>
      <w:r>
        <w:rPr>
          <w:rFonts w:hint="eastAsia" w:ascii="宋体" w:hAnsi="宋体"/>
          <w:sz w:val="21"/>
          <w:szCs w:val="21"/>
        </w:rPr>
        <w:br w:type="page"/>
      </w:r>
      <w:r>
        <w:rPr>
          <w:rFonts w:hint="eastAsia" w:ascii="宋体" w:hAnsi="宋体"/>
          <w:sz w:val="21"/>
          <w:szCs w:val="21"/>
        </w:rPr>
        <w:t>2022-JKMTDY-W1259</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44"/>
        <w:gridCol w:w="422"/>
        <w:gridCol w:w="1778"/>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脏垫料处理通风柜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A8"/>
            </w:r>
            <w:r>
              <w:rPr>
                <w:rFonts w:hint="eastAsia" w:ascii="宋体" w:hAnsi="宋体" w:eastAsia="宋体" w:cs="宋体"/>
                <w:sz w:val="21"/>
                <w:szCs w:val="21"/>
              </w:rPr>
              <w:t xml:space="preserve">国产  </w:t>
            </w:r>
            <w:r>
              <w:rPr>
                <w:rFonts w:hint="eastAsia" w:ascii="宋体" w:hAnsi="宋体" w:eastAsia="宋体" w:cs="宋体"/>
                <w:sz w:val="21"/>
                <w:szCs w:val="21"/>
                <w:lang w:eastAsia="zh-CN"/>
              </w:rPr>
              <w:sym w:font="Wingdings" w:char="00FE"/>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cs="宋体"/>
                <w:sz w:val="21"/>
                <w:szCs w:val="21"/>
                <w:lang w:val="en-US" w:eastAsia="zh-CN"/>
              </w:rPr>
              <w:t>14</w:t>
            </w: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6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6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730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高效过滤要求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不低于欧标EN1822确定的H14级别效率≥99.99%，必须有DOP测试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＃2</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初效过滤要求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不低于欧标EN779确定的G4级别。Am≥95%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3</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硬性初效过滤器要求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不低于欧标EN779确定的F7级别。Em≥85%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4</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工作区域气帘速度要求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气流速度自动控制≥0.55m/s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★5</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工作区域压力要求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负压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6</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运行噪音要求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≤65dB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7</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智能化要求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系统风机速度受微电脑控制以确保恒定的吸风量（吸风量不因滤网阻塞而减少），当滤网堵塞程度超过设定范围或者高效率网过了设定使用期报警装置会自动激发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8</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设备维护记录要求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可以查看高效过滤的维护记录，更换时间及最新的 DOP 测试记录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9</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风险报警要求</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工作区气流速度过低、工作区气流速度过高、高效使用寿命耗尽、电路异常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10</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必要性能测试报告</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提供检测报告：风速测试报告；噪音测试报告；电子系统测试报告，DOP测试报告，警报系统测试报告，功能测试报告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0"/>
                <w:szCs w:val="20"/>
                <w:u w:val="none"/>
                <w:lang w:val="en-US" w:eastAsia="zh-CN" w:bidi="ar"/>
              </w:rPr>
              <w:t>★11</w:t>
            </w:r>
          </w:p>
        </w:tc>
        <w:tc>
          <w:tcPr>
            <w:tcW w:w="1766"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售后</w:t>
            </w:r>
          </w:p>
        </w:tc>
        <w:tc>
          <w:tcPr>
            <w:tcW w:w="730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i w:val="0"/>
                <w:iCs w:val="0"/>
                <w:color w:val="000000"/>
                <w:kern w:val="0"/>
                <w:sz w:val="20"/>
                <w:szCs w:val="20"/>
                <w:u w:val="none"/>
                <w:lang w:val="en-US" w:eastAsia="zh-CN" w:bidi="ar"/>
              </w:rPr>
              <w:t>整机免费质保3年</w:t>
            </w:r>
          </w:p>
        </w:tc>
      </w:tr>
    </w:tbl>
    <w:p>
      <w:pPr>
        <w:spacing w:line="360" w:lineRule="auto"/>
        <w:jc w:val="left"/>
        <w:outlineLvl w:val="1"/>
        <w:rPr>
          <w:rFonts w:ascii="宋体" w:hAnsi="宋体" w:cs="黑体"/>
          <w:sz w:val="21"/>
          <w:szCs w:val="21"/>
        </w:rPr>
      </w:pPr>
      <w:r>
        <w:rPr>
          <w:rFonts w:hint="eastAsia" w:ascii="宋体" w:hAnsi="宋体"/>
          <w:sz w:val="21"/>
          <w:szCs w:val="21"/>
        </w:rPr>
        <w:br w:type="page"/>
      </w:r>
      <w:r>
        <w:rPr>
          <w:rFonts w:hint="eastAsia" w:ascii="宋体" w:hAnsi="宋体"/>
          <w:sz w:val="21"/>
          <w:szCs w:val="21"/>
        </w:rPr>
        <w:t>2021-JKMTDY-W1030</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344"/>
        <w:gridCol w:w="969"/>
        <w:gridCol w:w="1231"/>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可视喉镜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FE"/>
            </w:r>
            <w:r>
              <w:rPr>
                <w:rFonts w:hint="eastAsia" w:ascii="宋体" w:hAnsi="宋体" w:eastAsia="宋体" w:cs="宋体"/>
                <w:sz w:val="21"/>
                <w:szCs w:val="21"/>
              </w:rPr>
              <w:t xml:space="preserve">国产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cs="宋体"/>
                <w:sz w:val="21"/>
                <w:szCs w:val="21"/>
                <w:lang w:val="en-US" w:eastAsia="zh-CN"/>
              </w:rPr>
              <w:t>16</w:t>
            </w: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231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6759"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配置要求</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显示屏1个、硬管部件1个、除标配外再配5个镜片共6个镜片（型号科室自选）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显示屏尺寸</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显示屏分辨率</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≥3.72 lp/mm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显示器前后转动角度</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0º～120º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显示器左右转动角度</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0º～260º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★6</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喉镜片景深</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5-100mm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喉镜片视场角</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60º±15%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喉镜片光源</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摄像头内置的全密封防水设计高功率LED光源，光照度≥150LUX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★9</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摄像头与镜片前端的垂直距离</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★10</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硬管直径</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★11</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硬管前端插入部硬质管芯弯曲弧度角度</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80mm＞R＞50mm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12</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硬管部件有效长度</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400mm±3%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13</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硬管部件视场角</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80º±15%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#14</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硬管部件景深</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15</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硬管部件吹氧接头</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76"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w:t>
            </w:r>
          </w:p>
        </w:tc>
        <w:tc>
          <w:tcPr>
            <w:tcW w:w="2313"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售后</w:t>
            </w:r>
          </w:p>
        </w:tc>
        <w:tc>
          <w:tcPr>
            <w:tcW w:w="6759"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质保三年</w:t>
            </w:r>
          </w:p>
        </w:tc>
      </w:tr>
    </w:tbl>
    <w:p>
      <w:pPr>
        <w:spacing w:line="360" w:lineRule="auto"/>
        <w:jc w:val="left"/>
        <w:outlineLvl w:val="1"/>
        <w:rPr>
          <w:rFonts w:ascii="宋体" w:hAnsi="宋体" w:cs="黑体"/>
          <w:sz w:val="21"/>
          <w:szCs w:val="21"/>
        </w:rPr>
      </w:pPr>
      <w:r>
        <w:rPr>
          <w:rFonts w:hint="eastAsia" w:ascii="宋体" w:hAnsi="宋体"/>
          <w:sz w:val="21"/>
          <w:szCs w:val="21"/>
        </w:rPr>
        <w:br w:type="page"/>
      </w:r>
      <w:r>
        <w:rPr>
          <w:rFonts w:hint="eastAsia" w:ascii="宋体" w:hAnsi="宋体"/>
          <w:sz w:val="21"/>
          <w:szCs w:val="21"/>
        </w:rPr>
        <w:t>2021-JKMTDY-W1085</w:t>
      </w:r>
    </w:p>
    <w:tbl>
      <w:tblPr>
        <w:tblStyle w:val="30"/>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911"/>
        <w:gridCol w:w="1742"/>
        <w:gridCol w:w="458"/>
        <w:gridCol w:w="5528"/>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设备名称</w:t>
            </w:r>
          </w:p>
        </w:tc>
        <w:tc>
          <w:tcPr>
            <w:tcW w:w="7737" w:type="dxa"/>
            <w:gridSpan w:val="4"/>
            <w:vAlign w:val="center"/>
          </w:tcPr>
          <w:p>
            <w:pPr>
              <w:widowControl/>
              <w:rPr>
                <w:rFonts w:hint="eastAsia" w:ascii="宋体" w:hAnsi="宋体" w:eastAsia="宋体" w:cs="宋体"/>
                <w:sz w:val="21"/>
                <w:szCs w:val="21"/>
              </w:rPr>
            </w:pPr>
            <w:r>
              <w:rPr>
                <w:rFonts w:hint="eastAsia" w:ascii="宋体" w:hAnsi="宋体" w:eastAsia="宋体" w:cs="宋体"/>
                <w:sz w:val="21"/>
                <w:szCs w:val="21"/>
              </w:rPr>
              <w:t>生物安全柜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设备数量</w:t>
            </w:r>
          </w:p>
        </w:tc>
        <w:tc>
          <w:tcPr>
            <w:tcW w:w="2200" w:type="dxa"/>
            <w:gridSpan w:val="2"/>
            <w:vAlign w:val="center"/>
          </w:tcPr>
          <w:p>
            <w:pPr>
              <w:jc w:val="center"/>
              <w:rPr>
                <w:rFonts w:hint="eastAsia" w:ascii="宋体" w:hAnsi="宋体" w:eastAsia="宋体" w:cs="宋体"/>
                <w:sz w:val="21"/>
                <w:szCs w:val="21"/>
                <w:lang w:eastAsia="zh-CN"/>
              </w:rPr>
            </w:pPr>
            <w:r>
              <w:rPr>
                <w:rFonts w:hint="eastAsia" w:ascii="宋体" w:hAnsi="宋体" w:cs="宋体"/>
                <w:sz w:val="21"/>
                <w:szCs w:val="21"/>
                <w:lang w:val="en-US" w:eastAsia="zh-CN"/>
              </w:rPr>
              <w:t>2</w:t>
            </w:r>
          </w:p>
        </w:tc>
        <w:tc>
          <w:tcPr>
            <w:tcW w:w="5537"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sym w:font="Wingdings" w:char="00FE"/>
            </w:r>
            <w:r>
              <w:rPr>
                <w:rFonts w:hint="eastAsia" w:ascii="宋体" w:hAnsi="宋体" w:eastAsia="宋体" w:cs="宋体"/>
                <w:sz w:val="21"/>
                <w:szCs w:val="21"/>
              </w:rPr>
              <w:t xml:space="preserve">国产  </w:t>
            </w:r>
            <w:r>
              <w:rPr>
                <w:rFonts w:hint="eastAsia" w:ascii="宋体" w:hAnsi="宋体" w:eastAsia="宋体" w:cs="宋体"/>
                <w:sz w:val="21"/>
                <w:szCs w:val="21"/>
                <w:lang w:eastAsia="zh-CN"/>
              </w:rPr>
              <w:sym w:font="Wingdings" w:char="00A8"/>
            </w:r>
            <w:r>
              <w:rPr>
                <w:rFonts w:hint="eastAsia" w:ascii="宋体" w:hAnsi="宋体" w:eastAsia="宋体" w:cs="宋体"/>
                <w:sz w:val="21"/>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0"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设备最高投标限价</w:t>
            </w:r>
          </w:p>
        </w:tc>
        <w:tc>
          <w:tcPr>
            <w:tcW w:w="7737" w:type="dxa"/>
            <w:gridSpan w:val="4"/>
            <w:vAlign w:val="center"/>
          </w:tcPr>
          <w:p>
            <w:pPr>
              <w:jc w:val="left"/>
              <w:rPr>
                <w:rFonts w:hint="eastAsia" w:ascii="宋体" w:hAnsi="宋体" w:eastAsia="宋体" w:cs="宋体"/>
                <w:sz w:val="21"/>
                <w:szCs w:val="21"/>
              </w:rPr>
            </w:pPr>
            <w:r>
              <w:rPr>
                <w:rFonts w:hint="eastAsia" w:ascii="宋体" w:hAnsi="宋体" w:cs="宋体"/>
                <w:sz w:val="21"/>
                <w:szCs w:val="21"/>
                <w:lang w:val="en-US" w:eastAsia="zh-CN"/>
              </w:rPr>
              <w:t>10</w:t>
            </w:r>
            <w:r>
              <w:rPr>
                <w:rFonts w:hint="eastAsia" w:ascii="宋体" w:hAnsi="宋体" w:eastAsia="宋体" w:cs="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5"/>
            <w:vAlign w:val="center"/>
          </w:tcPr>
          <w:p>
            <w:pPr>
              <w:jc w:val="center"/>
              <w:rPr>
                <w:rFonts w:hint="eastAsia" w:ascii="宋体" w:hAnsi="宋体" w:eastAsia="宋体" w:cs="宋体"/>
                <w:sz w:val="21"/>
                <w:szCs w:val="21"/>
              </w:rPr>
            </w:pPr>
            <w:r>
              <w:rPr>
                <w:rFonts w:hint="eastAsia" w:ascii="宋体" w:hAnsi="宋体" w:eastAsia="宋体" w:cs="宋体"/>
                <w:sz w:val="21"/>
                <w:szCs w:val="21"/>
              </w:rPr>
              <w:t>设备技术参数要求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2653"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指标名称</w:t>
            </w:r>
          </w:p>
        </w:tc>
        <w:tc>
          <w:tcPr>
            <w:tcW w:w="5986" w:type="dxa"/>
            <w:gridSpan w:val="2"/>
            <w:vAlign w:val="center"/>
          </w:tcPr>
          <w:p>
            <w:pPr>
              <w:jc w:val="center"/>
              <w:rPr>
                <w:rFonts w:hint="eastAsia" w:ascii="宋体" w:hAnsi="宋体" w:eastAsia="宋体" w:cs="宋体"/>
                <w:sz w:val="21"/>
                <w:szCs w:val="21"/>
              </w:rPr>
            </w:pPr>
            <w:r>
              <w:rPr>
                <w:rFonts w:hint="eastAsia" w:ascii="宋体" w:hAnsi="宋体" w:eastAsia="宋体" w:cs="宋体"/>
                <w:sz w:val="21"/>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类别</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B2型，100%外排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2</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外部尺寸（L×D×H）</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≥1500mm×750mm×2200mm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3</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内部尺寸（L×D×H）</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 xml:space="preserve">≥1350mm×600mm×650mm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4</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台面距离地面高度</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750mm（尺寸可根据要求订制修改）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5</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风速</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平均下降风速：0.33±0.025m/s</w:t>
            </w:r>
            <w:r>
              <w:rPr>
                <w:rFonts w:hint="eastAsia" w:ascii="宋体" w:hAnsi="宋体" w:eastAsia="宋体" w:cs="宋体"/>
                <w:b w:val="0"/>
                <w:bCs w:val="0"/>
                <w:i w:val="0"/>
                <w:iCs w:val="0"/>
                <w:color w:val="000000"/>
                <w:kern w:val="0"/>
                <w:sz w:val="21"/>
                <w:szCs w:val="21"/>
                <w:u w:val="none"/>
                <w:lang w:val="en-US" w:eastAsia="zh-CN" w:bidi="ar"/>
              </w:rPr>
              <w:br w:type="textWrapping"/>
            </w:r>
            <w:r>
              <w:rPr>
                <w:rFonts w:hint="eastAsia" w:ascii="宋体" w:hAnsi="宋体" w:eastAsia="宋体" w:cs="宋体"/>
                <w:b w:val="0"/>
                <w:bCs w:val="0"/>
                <w:i w:val="0"/>
                <w:iCs w:val="0"/>
                <w:color w:val="000000"/>
                <w:kern w:val="0"/>
                <w:sz w:val="21"/>
                <w:szCs w:val="21"/>
                <w:u w:val="none"/>
                <w:lang w:val="en-US" w:eastAsia="zh-CN" w:bidi="ar"/>
              </w:rPr>
              <w:t>平均吸入口风速：0.53±0.025m/s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6</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系统排风总量</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≥1250 m³/h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噪音等级</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≤70dB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8</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照明</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≥1000lx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#9</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过滤效率</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0.12</w:t>
            </w:r>
            <w:r>
              <w:rPr>
                <w:rStyle w:val="121"/>
                <w:rFonts w:hint="eastAsia" w:ascii="宋体" w:hAnsi="宋体" w:eastAsia="宋体" w:cs="宋体"/>
                <w:b w:val="0"/>
                <w:bCs w:val="0"/>
                <w:sz w:val="21"/>
                <w:szCs w:val="21"/>
                <w:lang w:val="en-US" w:eastAsia="zh-CN" w:bidi="ar"/>
              </w:rPr>
              <w:t>μ</w:t>
            </w:r>
            <w:r>
              <w:rPr>
                <w:rFonts w:hint="eastAsia" w:ascii="宋体" w:hAnsi="宋体" w:eastAsia="宋体" w:cs="宋体"/>
                <w:b w:val="0"/>
                <w:bCs w:val="0"/>
                <w:i w:val="0"/>
                <w:iCs w:val="0"/>
                <w:color w:val="000000"/>
                <w:kern w:val="0"/>
                <w:sz w:val="21"/>
                <w:szCs w:val="21"/>
                <w:u w:val="none"/>
                <w:lang w:val="en-US" w:eastAsia="zh-CN" w:bidi="ar"/>
              </w:rPr>
              <w:t>m颗粒过滤效率≥99.9995%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10</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人员安全性</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用碘化钾（KI）法测试，前窗操作口的保护因子≥1×10</w:t>
            </w:r>
            <w:r>
              <w:rPr>
                <w:rStyle w:val="122"/>
                <w:rFonts w:hint="eastAsia" w:ascii="宋体" w:hAnsi="宋体" w:eastAsia="宋体" w:cs="宋体"/>
                <w:b w:val="0"/>
                <w:bCs w:val="0"/>
                <w:sz w:val="21"/>
                <w:szCs w:val="21"/>
                <w:lang w:val="en-US" w:eastAsia="zh-CN" w:bidi="ar"/>
              </w:rPr>
              <w:t xml:space="preserve">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11</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产品安全性</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菌落数≤5 CFU/次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★12</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脚轮设计</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可通过脚轮安全移动，可通过调节脚轮支脚进行固定和调平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★13</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前窗玻璃</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双层夹胶防爆安全玻璃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#14</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显示</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全参数显示,实时动态显示操作区的下降气流流速和流入气流流速，温度和湿度，显示安全柜的整体运行时间，UV灯的运行时间，显示过滤器的使用时间及使用寿命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15</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玻璃门升降</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sz w:val="21"/>
                <w:szCs w:val="21"/>
              </w:rPr>
            </w:pPr>
            <w:r>
              <w:rPr>
                <w:rFonts w:hint="eastAsia" w:ascii="宋体" w:hAnsi="宋体" w:eastAsia="宋体" w:cs="宋体"/>
                <w:b w:val="0"/>
                <w:bCs w:val="0"/>
                <w:i w:val="0"/>
                <w:iCs w:val="0"/>
                <w:color w:val="000000"/>
                <w:kern w:val="0"/>
                <w:sz w:val="21"/>
                <w:szCs w:val="21"/>
                <w:u w:val="none"/>
                <w:lang w:val="en-US" w:eastAsia="zh-CN" w:bidi="ar"/>
              </w:rPr>
              <w:t>脚踏电动、手动按键、遥控电动三种方式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16</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预约定时功能</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自动设定安全柜定时开机、关机及紫外灯消毒时间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#17</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报警系统</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玻璃门安全高度报警，过滤器压力报警，过滤器更换报警，气流波动报警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18</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连锁保护</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安全柜风机与玻璃门互锁，紫外灯与安全柜玻璃门、风机及照明灯互锁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120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★19</w:t>
            </w:r>
          </w:p>
        </w:tc>
        <w:tc>
          <w:tcPr>
            <w:tcW w:w="2653" w:type="dxa"/>
            <w:gridSpan w:val="2"/>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售后</w:t>
            </w:r>
          </w:p>
        </w:tc>
        <w:tc>
          <w:tcPr>
            <w:tcW w:w="5986" w:type="dxa"/>
            <w:gridSpan w:val="2"/>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整机质保五年，质保期内每年送一次校准，并出具校准报告。</w:t>
            </w:r>
          </w:p>
        </w:tc>
      </w:tr>
    </w:tbl>
    <w:p>
      <w:pPr>
        <w:widowControl/>
        <w:jc w:val="left"/>
        <w:rPr>
          <w:rFonts w:ascii="宋体" w:hAnsi="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TZhongsong">
    <w:altName w:val="宋体"/>
    <w:panose1 w:val="00000000000000000000"/>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PJWEVC+SimSun">
    <w:altName w:val="微软雅黑"/>
    <w:panose1 w:val="00000000000000000000"/>
    <w:charset w:val="86"/>
    <w:family w:val="decorative"/>
    <w:pitch w:val="default"/>
    <w:sig w:usb0="00000000" w:usb1="00000000" w:usb2="00000010" w:usb3="00000000" w:csb0="00040000" w:csb1="00000000"/>
  </w:font>
  <w:font w:name="STXihei">
    <w:altName w:val="宋体"/>
    <w:panose1 w:val="00000000000000000000"/>
    <w:charset w:val="86"/>
    <w:family w:val="auto"/>
    <w:pitch w:val="default"/>
    <w:sig w:usb0="00000000" w:usb1="00000000" w:usb2="00000010" w:usb3="00000000" w:csb0="0004009F" w:csb1="00000000"/>
  </w:font>
  <w:font w:name="Bold">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8"/>
    <w:multiLevelType w:val="multilevel"/>
    <w:tmpl w:val="00000018"/>
    <w:lvl w:ilvl="0" w:tentative="0">
      <w:start w:val="1"/>
      <w:numFmt w:val="decimal"/>
      <w:pStyle w:val="88"/>
      <w:lvlText w:val="(%1)"/>
      <w:lvlJc w:val="left"/>
      <w:pPr>
        <w:ind w:left="1555" w:hanging="420"/>
      </w:pPr>
      <w:rPr>
        <w:rFonts w:hint="eastAsia"/>
      </w:rPr>
    </w:lvl>
    <w:lvl w:ilvl="1" w:tentative="0">
      <w:start w:val="1"/>
      <w:numFmt w:val="bullet"/>
      <w:lvlText w:val=""/>
      <w:lvlJc w:val="left"/>
      <w:pPr>
        <w:ind w:left="1975" w:hanging="420"/>
      </w:pPr>
      <w:rPr>
        <w:rFonts w:hint="default" w:ascii="Wingdings" w:hAnsi="Wingdings"/>
      </w:rPr>
    </w:lvl>
    <w:lvl w:ilvl="2" w:tentative="0">
      <w:start w:val="1"/>
      <w:numFmt w:val="bullet"/>
      <w:lvlRestart w:val="0"/>
      <w:lvlText w:val=""/>
      <w:lvlJc w:val="left"/>
      <w:pPr>
        <w:ind w:left="2395" w:hanging="420"/>
      </w:pPr>
      <w:rPr>
        <w:rFonts w:hint="default" w:ascii="Wingdings" w:hAnsi="Wingdings"/>
      </w:rPr>
    </w:lvl>
    <w:lvl w:ilvl="3" w:tentative="0">
      <w:start w:val="1"/>
      <w:numFmt w:val="bullet"/>
      <w:lvlRestart w:val="0"/>
      <w:lvlText w:val=""/>
      <w:lvlJc w:val="left"/>
      <w:pPr>
        <w:ind w:left="2815" w:hanging="420"/>
      </w:pPr>
      <w:rPr>
        <w:rFonts w:hint="default" w:ascii="Wingdings" w:hAnsi="Wingdings"/>
      </w:rPr>
    </w:lvl>
    <w:lvl w:ilvl="4" w:tentative="0">
      <w:start w:val="1"/>
      <w:numFmt w:val="bullet"/>
      <w:lvlRestart w:val="0"/>
      <w:lvlText w:val=""/>
      <w:lvlJc w:val="left"/>
      <w:pPr>
        <w:ind w:left="3235" w:hanging="420"/>
      </w:pPr>
      <w:rPr>
        <w:rFonts w:hint="default" w:ascii="Wingdings" w:hAnsi="Wingdings"/>
      </w:rPr>
    </w:lvl>
    <w:lvl w:ilvl="5" w:tentative="0">
      <w:start w:val="1"/>
      <w:numFmt w:val="bullet"/>
      <w:lvlRestart w:val="0"/>
      <w:lvlText w:val=""/>
      <w:lvlJc w:val="left"/>
      <w:pPr>
        <w:ind w:left="3655" w:hanging="420"/>
      </w:pPr>
      <w:rPr>
        <w:rFonts w:hint="default" w:ascii="Wingdings" w:hAnsi="Wingdings"/>
      </w:rPr>
    </w:lvl>
    <w:lvl w:ilvl="6" w:tentative="0">
      <w:start w:val="1"/>
      <w:numFmt w:val="bullet"/>
      <w:lvlRestart w:val="0"/>
      <w:lvlText w:val=""/>
      <w:lvlJc w:val="left"/>
      <w:pPr>
        <w:ind w:left="4075" w:hanging="420"/>
      </w:pPr>
      <w:rPr>
        <w:rFonts w:hint="default" w:ascii="Wingdings" w:hAnsi="Wingdings"/>
      </w:rPr>
    </w:lvl>
    <w:lvl w:ilvl="7" w:tentative="0">
      <w:start w:val="1"/>
      <w:numFmt w:val="bullet"/>
      <w:lvlRestart w:val="0"/>
      <w:lvlText w:val=""/>
      <w:lvlJc w:val="left"/>
      <w:pPr>
        <w:ind w:left="4495" w:hanging="420"/>
      </w:pPr>
      <w:rPr>
        <w:rFonts w:hint="default" w:ascii="Wingdings" w:hAnsi="Wingdings"/>
      </w:rPr>
    </w:lvl>
    <w:lvl w:ilvl="8" w:tentative="0">
      <w:start w:val="1"/>
      <w:numFmt w:val="bullet"/>
      <w:lvlRestart w:val="0"/>
      <w:lvlText w:val=""/>
      <w:lvlJc w:val="left"/>
      <w:pPr>
        <w:ind w:left="491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llMmI2OWI5YmVlYjQ2N2NmMWJmYzcxODdjZTNlYTMifQ=="/>
  </w:docVars>
  <w:rsids>
    <w:rsidRoot w:val="00DE0BE7"/>
    <w:rsid w:val="00012BFC"/>
    <w:rsid w:val="00027693"/>
    <w:rsid w:val="00030CF8"/>
    <w:rsid w:val="00037DB6"/>
    <w:rsid w:val="00053539"/>
    <w:rsid w:val="00066F1F"/>
    <w:rsid w:val="0007256C"/>
    <w:rsid w:val="0007363C"/>
    <w:rsid w:val="000753B0"/>
    <w:rsid w:val="00081CCF"/>
    <w:rsid w:val="00092838"/>
    <w:rsid w:val="00093959"/>
    <w:rsid w:val="000B285E"/>
    <w:rsid w:val="000C0F85"/>
    <w:rsid w:val="000E0969"/>
    <w:rsid w:val="000E150E"/>
    <w:rsid w:val="000F588A"/>
    <w:rsid w:val="00101C2A"/>
    <w:rsid w:val="001201C4"/>
    <w:rsid w:val="0013115D"/>
    <w:rsid w:val="00132085"/>
    <w:rsid w:val="0013681E"/>
    <w:rsid w:val="00157BD8"/>
    <w:rsid w:val="00157DA5"/>
    <w:rsid w:val="001603AB"/>
    <w:rsid w:val="00172244"/>
    <w:rsid w:val="0017620C"/>
    <w:rsid w:val="001808F4"/>
    <w:rsid w:val="001819E4"/>
    <w:rsid w:val="001A2E6C"/>
    <w:rsid w:val="001B45DA"/>
    <w:rsid w:val="001C2A8C"/>
    <w:rsid w:val="001C5C54"/>
    <w:rsid w:val="001C63EA"/>
    <w:rsid w:val="001C76BF"/>
    <w:rsid w:val="001D68E1"/>
    <w:rsid w:val="001E0D26"/>
    <w:rsid w:val="001F7DB5"/>
    <w:rsid w:val="002051FB"/>
    <w:rsid w:val="002266AA"/>
    <w:rsid w:val="002305A1"/>
    <w:rsid w:val="00233BCF"/>
    <w:rsid w:val="002349B0"/>
    <w:rsid w:val="002621CC"/>
    <w:rsid w:val="00262BB2"/>
    <w:rsid w:val="0027378E"/>
    <w:rsid w:val="002A43D0"/>
    <w:rsid w:val="002D7994"/>
    <w:rsid w:val="00332D5D"/>
    <w:rsid w:val="00333F89"/>
    <w:rsid w:val="0033459A"/>
    <w:rsid w:val="00335EC2"/>
    <w:rsid w:val="003422B7"/>
    <w:rsid w:val="00345376"/>
    <w:rsid w:val="0035582C"/>
    <w:rsid w:val="0036518D"/>
    <w:rsid w:val="00383CA7"/>
    <w:rsid w:val="003A7D82"/>
    <w:rsid w:val="003B4250"/>
    <w:rsid w:val="003E6F13"/>
    <w:rsid w:val="003F795F"/>
    <w:rsid w:val="00417A3F"/>
    <w:rsid w:val="004312C9"/>
    <w:rsid w:val="004318AC"/>
    <w:rsid w:val="004359DF"/>
    <w:rsid w:val="00446376"/>
    <w:rsid w:val="00455472"/>
    <w:rsid w:val="00455AE1"/>
    <w:rsid w:val="004811F1"/>
    <w:rsid w:val="004857AD"/>
    <w:rsid w:val="004A2053"/>
    <w:rsid w:val="004A4F30"/>
    <w:rsid w:val="004D10FA"/>
    <w:rsid w:val="004D5EB0"/>
    <w:rsid w:val="004F680B"/>
    <w:rsid w:val="00515E5E"/>
    <w:rsid w:val="00520D34"/>
    <w:rsid w:val="00524708"/>
    <w:rsid w:val="005317E8"/>
    <w:rsid w:val="0053223B"/>
    <w:rsid w:val="00533CD3"/>
    <w:rsid w:val="005362E4"/>
    <w:rsid w:val="00545016"/>
    <w:rsid w:val="00551C96"/>
    <w:rsid w:val="005566AA"/>
    <w:rsid w:val="005658D6"/>
    <w:rsid w:val="0057402D"/>
    <w:rsid w:val="00575541"/>
    <w:rsid w:val="00580BA7"/>
    <w:rsid w:val="00582504"/>
    <w:rsid w:val="00585E04"/>
    <w:rsid w:val="005867AC"/>
    <w:rsid w:val="0059333D"/>
    <w:rsid w:val="005946DC"/>
    <w:rsid w:val="005C00AA"/>
    <w:rsid w:val="005C5F1C"/>
    <w:rsid w:val="005E545B"/>
    <w:rsid w:val="005E6B69"/>
    <w:rsid w:val="005F4252"/>
    <w:rsid w:val="005F75AC"/>
    <w:rsid w:val="00607A66"/>
    <w:rsid w:val="0061604A"/>
    <w:rsid w:val="00621666"/>
    <w:rsid w:val="006616AA"/>
    <w:rsid w:val="006635DE"/>
    <w:rsid w:val="00665E99"/>
    <w:rsid w:val="00680247"/>
    <w:rsid w:val="006875AC"/>
    <w:rsid w:val="006A7827"/>
    <w:rsid w:val="006B711C"/>
    <w:rsid w:val="006C0844"/>
    <w:rsid w:val="006D3DC7"/>
    <w:rsid w:val="006D5DBD"/>
    <w:rsid w:val="006E323C"/>
    <w:rsid w:val="006E3DEF"/>
    <w:rsid w:val="006E763F"/>
    <w:rsid w:val="006E76B9"/>
    <w:rsid w:val="00702E03"/>
    <w:rsid w:val="0070733D"/>
    <w:rsid w:val="00711293"/>
    <w:rsid w:val="00712F01"/>
    <w:rsid w:val="007230B6"/>
    <w:rsid w:val="00733059"/>
    <w:rsid w:val="0074620A"/>
    <w:rsid w:val="00747620"/>
    <w:rsid w:val="00753C46"/>
    <w:rsid w:val="00754AB4"/>
    <w:rsid w:val="00767380"/>
    <w:rsid w:val="00772E83"/>
    <w:rsid w:val="00777E55"/>
    <w:rsid w:val="00790D49"/>
    <w:rsid w:val="00793923"/>
    <w:rsid w:val="00793D74"/>
    <w:rsid w:val="007A35B2"/>
    <w:rsid w:val="007B21D6"/>
    <w:rsid w:val="007B59C0"/>
    <w:rsid w:val="007B7F43"/>
    <w:rsid w:val="007C34A8"/>
    <w:rsid w:val="007C3881"/>
    <w:rsid w:val="007D196F"/>
    <w:rsid w:val="007E33BF"/>
    <w:rsid w:val="007F165F"/>
    <w:rsid w:val="008019E5"/>
    <w:rsid w:val="00820EC0"/>
    <w:rsid w:val="00831503"/>
    <w:rsid w:val="0083241F"/>
    <w:rsid w:val="00842806"/>
    <w:rsid w:val="008479C3"/>
    <w:rsid w:val="008704D2"/>
    <w:rsid w:val="008705F2"/>
    <w:rsid w:val="008815A8"/>
    <w:rsid w:val="00896268"/>
    <w:rsid w:val="008A67D7"/>
    <w:rsid w:val="008A6AF7"/>
    <w:rsid w:val="008B0494"/>
    <w:rsid w:val="008D1447"/>
    <w:rsid w:val="008D2139"/>
    <w:rsid w:val="008D6026"/>
    <w:rsid w:val="008E6679"/>
    <w:rsid w:val="008F1091"/>
    <w:rsid w:val="008F1698"/>
    <w:rsid w:val="008F3CF2"/>
    <w:rsid w:val="00912C9F"/>
    <w:rsid w:val="00912ED0"/>
    <w:rsid w:val="00922AD9"/>
    <w:rsid w:val="00927558"/>
    <w:rsid w:val="009412EC"/>
    <w:rsid w:val="00960C4D"/>
    <w:rsid w:val="00976D3F"/>
    <w:rsid w:val="00977DBC"/>
    <w:rsid w:val="00982363"/>
    <w:rsid w:val="00995D55"/>
    <w:rsid w:val="009A1B4C"/>
    <w:rsid w:val="009C0F8B"/>
    <w:rsid w:val="009D5284"/>
    <w:rsid w:val="009E48A3"/>
    <w:rsid w:val="009F0A60"/>
    <w:rsid w:val="00A0044E"/>
    <w:rsid w:val="00A21632"/>
    <w:rsid w:val="00A2768B"/>
    <w:rsid w:val="00A40FB0"/>
    <w:rsid w:val="00A412D0"/>
    <w:rsid w:val="00A41BB6"/>
    <w:rsid w:val="00A54CE9"/>
    <w:rsid w:val="00A70B7C"/>
    <w:rsid w:val="00A71A93"/>
    <w:rsid w:val="00A76924"/>
    <w:rsid w:val="00AA5207"/>
    <w:rsid w:val="00AD76A6"/>
    <w:rsid w:val="00AE0D02"/>
    <w:rsid w:val="00AE4676"/>
    <w:rsid w:val="00B13C63"/>
    <w:rsid w:val="00B21CFE"/>
    <w:rsid w:val="00B35914"/>
    <w:rsid w:val="00B3719E"/>
    <w:rsid w:val="00B4027A"/>
    <w:rsid w:val="00B42ECD"/>
    <w:rsid w:val="00B43D4A"/>
    <w:rsid w:val="00B47E81"/>
    <w:rsid w:val="00B5088F"/>
    <w:rsid w:val="00B66651"/>
    <w:rsid w:val="00B700D7"/>
    <w:rsid w:val="00B77052"/>
    <w:rsid w:val="00BA6322"/>
    <w:rsid w:val="00BC38EC"/>
    <w:rsid w:val="00BD52BC"/>
    <w:rsid w:val="00BE2A6B"/>
    <w:rsid w:val="00BF25AC"/>
    <w:rsid w:val="00BF6756"/>
    <w:rsid w:val="00C00515"/>
    <w:rsid w:val="00C0531B"/>
    <w:rsid w:val="00C071F4"/>
    <w:rsid w:val="00C115BF"/>
    <w:rsid w:val="00C14DFD"/>
    <w:rsid w:val="00C21F0F"/>
    <w:rsid w:val="00C24CFF"/>
    <w:rsid w:val="00C35B67"/>
    <w:rsid w:val="00C36DBC"/>
    <w:rsid w:val="00C37824"/>
    <w:rsid w:val="00C5458F"/>
    <w:rsid w:val="00C63B5E"/>
    <w:rsid w:val="00C6555B"/>
    <w:rsid w:val="00C75DAF"/>
    <w:rsid w:val="00C820FC"/>
    <w:rsid w:val="00C8219A"/>
    <w:rsid w:val="00C93BA4"/>
    <w:rsid w:val="00C97D7F"/>
    <w:rsid w:val="00CA0EBB"/>
    <w:rsid w:val="00CA137F"/>
    <w:rsid w:val="00CA7F25"/>
    <w:rsid w:val="00CB231F"/>
    <w:rsid w:val="00CF6863"/>
    <w:rsid w:val="00D06C6A"/>
    <w:rsid w:val="00D1505D"/>
    <w:rsid w:val="00D27FBA"/>
    <w:rsid w:val="00D30343"/>
    <w:rsid w:val="00D31158"/>
    <w:rsid w:val="00D41A4A"/>
    <w:rsid w:val="00D53B05"/>
    <w:rsid w:val="00D652A8"/>
    <w:rsid w:val="00D66080"/>
    <w:rsid w:val="00D7002A"/>
    <w:rsid w:val="00D7257D"/>
    <w:rsid w:val="00D77834"/>
    <w:rsid w:val="00D8607F"/>
    <w:rsid w:val="00D867AF"/>
    <w:rsid w:val="00D907A1"/>
    <w:rsid w:val="00D94B8B"/>
    <w:rsid w:val="00DA6B18"/>
    <w:rsid w:val="00DB4390"/>
    <w:rsid w:val="00DB5C75"/>
    <w:rsid w:val="00DD67D8"/>
    <w:rsid w:val="00DE0BE7"/>
    <w:rsid w:val="00DE3D09"/>
    <w:rsid w:val="00DE53B3"/>
    <w:rsid w:val="00DF6DE3"/>
    <w:rsid w:val="00E13F0A"/>
    <w:rsid w:val="00E20F30"/>
    <w:rsid w:val="00E36914"/>
    <w:rsid w:val="00E37E97"/>
    <w:rsid w:val="00E56751"/>
    <w:rsid w:val="00E64806"/>
    <w:rsid w:val="00E67E09"/>
    <w:rsid w:val="00E86236"/>
    <w:rsid w:val="00EA3C8D"/>
    <w:rsid w:val="00EB1633"/>
    <w:rsid w:val="00EB52C7"/>
    <w:rsid w:val="00EC0ACA"/>
    <w:rsid w:val="00EE79A8"/>
    <w:rsid w:val="00EF002F"/>
    <w:rsid w:val="00EF6251"/>
    <w:rsid w:val="00F13EDE"/>
    <w:rsid w:val="00F15308"/>
    <w:rsid w:val="00F22F94"/>
    <w:rsid w:val="00F27284"/>
    <w:rsid w:val="00F3743B"/>
    <w:rsid w:val="00F43930"/>
    <w:rsid w:val="00F65F40"/>
    <w:rsid w:val="00F66BA9"/>
    <w:rsid w:val="00F7039D"/>
    <w:rsid w:val="00F82283"/>
    <w:rsid w:val="00F8727D"/>
    <w:rsid w:val="00F977DD"/>
    <w:rsid w:val="00FB15D3"/>
    <w:rsid w:val="00FC77C5"/>
    <w:rsid w:val="00FE1DDC"/>
    <w:rsid w:val="00FF44A5"/>
    <w:rsid w:val="1A693DA7"/>
    <w:rsid w:val="326F5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4"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4"/>
      <w:szCs w:val="24"/>
      <w:lang w:val="en-US" w:eastAsia="zh-CN" w:bidi="ar-SA"/>
    </w:rPr>
  </w:style>
  <w:style w:type="paragraph" w:styleId="2">
    <w:name w:val="heading 1"/>
    <w:basedOn w:val="1"/>
    <w:next w:val="1"/>
    <w:link w:val="40"/>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4"/>
    <w:link w:val="41"/>
    <w:qFormat/>
    <w:uiPriority w:val="0"/>
    <w:pPr>
      <w:keepNext/>
      <w:keepLines/>
      <w:widowControl/>
      <w:spacing w:before="260" w:after="260" w:line="416" w:lineRule="auto"/>
      <w:jc w:val="left"/>
      <w:outlineLvl w:val="1"/>
    </w:pPr>
    <w:rPr>
      <w:rFonts w:ascii="Arial" w:hAnsi="Arial" w:eastAsia="黑体"/>
      <w:b/>
      <w:sz w:val="32"/>
      <w:szCs w:val="20"/>
      <w:lang w:val="zh-CN"/>
    </w:rPr>
  </w:style>
  <w:style w:type="paragraph" w:styleId="5">
    <w:name w:val="heading 3"/>
    <w:basedOn w:val="1"/>
    <w:next w:val="1"/>
    <w:link w:val="42"/>
    <w:qFormat/>
    <w:uiPriority w:val="0"/>
    <w:pPr>
      <w:keepNext/>
      <w:keepLines/>
      <w:spacing w:before="260" w:after="260" w:line="416" w:lineRule="auto"/>
      <w:outlineLvl w:val="2"/>
    </w:pPr>
    <w:rPr>
      <w:b/>
      <w:bCs/>
      <w:kern w:val="2"/>
      <w:sz w:val="32"/>
      <w:szCs w:val="32"/>
      <w:lang w:val="zh-CN"/>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b/>
      <w:bCs/>
      <w:kern w:val="2"/>
      <w:sz w:val="28"/>
      <w:szCs w:val="28"/>
      <w:lang w:val="zh-CN"/>
    </w:rPr>
  </w:style>
  <w:style w:type="paragraph" w:styleId="7">
    <w:name w:val="heading 5"/>
    <w:basedOn w:val="1"/>
    <w:next w:val="1"/>
    <w:link w:val="44"/>
    <w:unhideWhenUsed/>
    <w:qFormat/>
    <w:uiPriority w:val="9"/>
    <w:pPr>
      <w:keepNext/>
      <w:keepLines/>
      <w:spacing w:before="280" w:after="290" w:line="376" w:lineRule="auto"/>
      <w:ind w:left="1008" w:hanging="1008"/>
      <w:outlineLvl w:val="4"/>
    </w:pPr>
    <w:rPr>
      <w:rFonts w:ascii="Calibri" w:hAnsi="Calibri"/>
      <w:b/>
      <w:bCs/>
      <w:kern w:val="2"/>
      <w:sz w:val="28"/>
      <w:szCs w:val="28"/>
    </w:rPr>
  </w:style>
  <w:style w:type="paragraph" w:styleId="8">
    <w:name w:val="heading 6"/>
    <w:basedOn w:val="1"/>
    <w:next w:val="1"/>
    <w:link w:val="45"/>
    <w:unhideWhenUsed/>
    <w:qFormat/>
    <w:uiPriority w:val="9"/>
    <w:pPr>
      <w:keepNext/>
      <w:keepLines/>
      <w:spacing w:before="240" w:after="64" w:line="320" w:lineRule="auto"/>
      <w:ind w:left="1152" w:hanging="1152"/>
      <w:outlineLvl w:val="5"/>
    </w:pPr>
    <w:rPr>
      <w:rFonts w:ascii="Calibri Light" w:hAnsi="Calibri Light"/>
      <w:b/>
      <w:bCs/>
      <w:kern w:val="2"/>
    </w:rPr>
  </w:style>
  <w:style w:type="paragraph" w:styleId="9">
    <w:name w:val="heading 7"/>
    <w:basedOn w:val="1"/>
    <w:next w:val="1"/>
    <w:link w:val="46"/>
    <w:unhideWhenUsed/>
    <w:qFormat/>
    <w:uiPriority w:val="9"/>
    <w:pPr>
      <w:keepNext/>
      <w:keepLines/>
      <w:spacing w:before="240" w:after="64" w:line="320" w:lineRule="auto"/>
      <w:ind w:left="1296" w:hanging="1296"/>
      <w:outlineLvl w:val="6"/>
    </w:pPr>
    <w:rPr>
      <w:rFonts w:ascii="Calibri" w:hAnsi="Calibri"/>
      <w:b/>
      <w:bCs/>
      <w:kern w:val="2"/>
    </w:rPr>
  </w:style>
  <w:style w:type="paragraph" w:styleId="10">
    <w:name w:val="heading 8"/>
    <w:basedOn w:val="1"/>
    <w:next w:val="1"/>
    <w:link w:val="47"/>
    <w:unhideWhenUsed/>
    <w:qFormat/>
    <w:uiPriority w:val="9"/>
    <w:pPr>
      <w:keepNext/>
      <w:keepLines/>
      <w:spacing w:before="240" w:after="64" w:line="320" w:lineRule="auto"/>
      <w:ind w:left="1440" w:hanging="1440"/>
      <w:outlineLvl w:val="7"/>
    </w:pPr>
    <w:rPr>
      <w:rFonts w:ascii="Calibri Light" w:hAnsi="Calibri Light"/>
      <w:kern w:val="2"/>
    </w:rPr>
  </w:style>
  <w:style w:type="paragraph" w:styleId="11">
    <w:name w:val="heading 9"/>
    <w:basedOn w:val="1"/>
    <w:next w:val="1"/>
    <w:link w:val="48"/>
    <w:unhideWhenUsed/>
    <w:qFormat/>
    <w:uiPriority w:val="9"/>
    <w:pPr>
      <w:keepNext/>
      <w:keepLines/>
      <w:spacing w:before="240" w:after="64" w:line="320" w:lineRule="auto"/>
      <w:ind w:left="1584" w:hanging="1584"/>
      <w:outlineLvl w:val="8"/>
    </w:pPr>
    <w:rPr>
      <w:rFonts w:ascii="Calibri Light" w:hAnsi="Calibri Light"/>
      <w:kern w:val="2"/>
      <w:sz w:val="21"/>
      <w:szCs w:val="21"/>
    </w:rPr>
  </w:style>
  <w:style w:type="character" w:default="1" w:styleId="33">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4">
    <w:name w:val="Normal Indent"/>
    <w:basedOn w:val="1"/>
    <w:link w:val="87"/>
    <w:qFormat/>
    <w:uiPriority w:val="0"/>
    <w:pPr>
      <w:ind w:firstLine="420" w:firstLineChars="200"/>
    </w:pPr>
    <w:rPr>
      <w:lang w:val="zh-CN"/>
    </w:rPr>
  </w:style>
  <w:style w:type="paragraph" w:styleId="12">
    <w:name w:val="caption"/>
    <w:basedOn w:val="1"/>
    <w:next w:val="1"/>
    <w:qFormat/>
    <w:uiPriority w:val="0"/>
    <w:rPr>
      <w:rFonts w:ascii="Arial" w:hAnsi="Arial" w:eastAsia="黑体" w:cs="Arial"/>
      <w:kern w:val="2"/>
      <w:sz w:val="20"/>
      <w:szCs w:val="20"/>
    </w:rPr>
  </w:style>
  <w:style w:type="paragraph" w:styleId="13">
    <w:name w:val="Document Map"/>
    <w:basedOn w:val="1"/>
    <w:link w:val="49"/>
    <w:semiHidden/>
    <w:qFormat/>
    <w:uiPriority w:val="99"/>
    <w:pPr>
      <w:shd w:val="clear" w:color="auto" w:fill="000080"/>
    </w:pPr>
    <w:rPr>
      <w:lang w:val="zh-CN"/>
    </w:rPr>
  </w:style>
  <w:style w:type="paragraph" w:styleId="14">
    <w:name w:val="annotation text"/>
    <w:basedOn w:val="1"/>
    <w:link w:val="50"/>
    <w:uiPriority w:val="99"/>
    <w:pPr>
      <w:jc w:val="left"/>
    </w:pPr>
    <w:rPr>
      <w:lang w:val="zh-CN"/>
    </w:rPr>
  </w:style>
  <w:style w:type="paragraph" w:styleId="15">
    <w:name w:val="Body Text"/>
    <w:basedOn w:val="1"/>
    <w:link w:val="51"/>
    <w:qFormat/>
    <w:uiPriority w:val="99"/>
    <w:rPr>
      <w:sz w:val="21"/>
      <w:lang w:val="zh-CN"/>
    </w:rPr>
  </w:style>
  <w:style w:type="paragraph" w:styleId="16">
    <w:name w:val="Body Text Indent"/>
    <w:basedOn w:val="1"/>
    <w:link w:val="52"/>
    <w:qFormat/>
    <w:uiPriority w:val="99"/>
    <w:pPr>
      <w:ind w:firstLine="555"/>
    </w:pPr>
    <w:rPr>
      <w:lang w:val="zh-CN"/>
    </w:rPr>
  </w:style>
  <w:style w:type="paragraph" w:styleId="17">
    <w:name w:val="Plain Text"/>
    <w:basedOn w:val="1"/>
    <w:link w:val="74"/>
    <w:qFormat/>
    <w:uiPriority w:val="0"/>
    <w:rPr>
      <w:rFonts w:ascii="宋体" w:hAnsi="Courier New" w:cs="Courier New"/>
      <w:kern w:val="2"/>
      <w:szCs w:val="21"/>
    </w:rPr>
  </w:style>
  <w:style w:type="paragraph" w:styleId="18">
    <w:name w:val="Date"/>
    <w:basedOn w:val="1"/>
    <w:next w:val="1"/>
    <w:link w:val="54"/>
    <w:qFormat/>
    <w:uiPriority w:val="0"/>
    <w:pPr>
      <w:ind w:left="100" w:leftChars="2500"/>
    </w:pPr>
    <w:rPr>
      <w:rFonts w:ascii="仿宋_GB2312" w:eastAsia="仿宋_GB2312"/>
      <w:kern w:val="2"/>
      <w:sz w:val="28"/>
      <w:lang w:val="zh-CN"/>
    </w:rPr>
  </w:style>
  <w:style w:type="paragraph" w:styleId="19">
    <w:name w:val="Body Text Indent 2"/>
    <w:basedOn w:val="1"/>
    <w:link w:val="55"/>
    <w:qFormat/>
    <w:uiPriority w:val="0"/>
    <w:pPr>
      <w:spacing w:line="540" w:lineRule="exact"/>
      <w:ind w:firstLine="630"/>
    </w:pPr>
    <w:rPr>
      <w:lang w:val="zh-CN"/>
    </w:rPr>
  </w:style>
  <w:style w:type="paragraph" w:styleId="20">
    <w:name w:val="Balloon Text"/>
    <w:basedOn w:val="1"/>
    <w:link w:val="65"/>
    <w:qFormat/>
    <w:uiPriority w:val="99"/>
    <w:rPr>
      <w:sz w:val="18"/>
      <w:szCs w:val="18"/>
      <w:lang w:val="zh-CN"/>
    </w:rPr>
  </w:style>
  <w:style w:type="paragraph" w:styleId="21">
    <w:name w:val="footer"/>
    <w:basedOn w:val="1"/>
    <w:link w:val="39"/>
    <w:unhideWhenUsed/>
    <w:qFormat/>
    <w:uiPriority w:val="99"/>
    <w:pPr>
      <w:tabs>
        <w:tab w:val="center" w:pos="4153"/>
        <w:tab w:val="right" w:pos="8306"/>
      </w:tabs>
      <w:snapToGrid w:val="0"/>
      <w:jc w:val="left"/>
    </w:pPr>
    <w:rPr>
      <w:sz w:val="18"/>
      <w:szCs w:val="18"/>
    </w:rPr>
  </w:style>
  <w:style w:type="paragraph" w:styleId="22">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4"/>
    <w:pPr>
      <w:ind w:left="3360" w:leftChars="1600"/>
    </w:pPr>
    <w:rPr>
      <w:rFonts w:ascii="Calibri" w:hAnsi="Calibri"/>
      <w:kern w:val="2"/>
      <w:sz w:val="21"/>
      <w:szCs w:val="22"/>
    </w:rPr>
  </w:style>
  <w:style w:type="paragraph" w:styleId="24">
    <w:name w:val="Subtitle"/>
    <w:basedOn w:val="1"/>
    <w:next w:val="1"/>
    <w:link w:val="57"/>
    <w:qFormat/>
    <w:uiPriority w:val="0"/>
    <w:pPr>
      <w:spacing w:before="240" w:after="60" w:line="312" w:lineRule="auto"/>
      <w:jc w:val="center"/>
      <w:outlineLvl w:val="1"/>
    </w:pPr>
    <w:rPr>
      <w:rFonts w:ascii="等线 Light" w:hAnsi="等线 Light"/>
      <w:b/>
      <w:bCs/>
      <w:kern w:val="28"/>
      <w:sz w:val="32"/>
      <w:szCs w:val="32"/>
      <w:lang w:val="zh-CN"/>
    </w:rPr>
  </w:style>
  <w:style w:type="paragraph" w:styleId="25">
    <w:name w:val="Body Text 2"/>
    <w:basedOn w:val="1"/>
    <w:link w:val="58"/>
    <w:qFormat/>
    <w:uiPriority w:val="0"/>
    <w:pPr>
      <w:jc w:val="center"/>
    </w:pPr>
    <w:rPr>
      <w:sz w:val="21"/>
      <w:lang w:val="zh-CN"/>
    </w:rPr>
  </w:style>
  <w:style w:type="paragraph" w:styleId="26">
    <w:name w:val="Normal (Web)"/>
    <w:basedOn w:val="1"/>
    <w:uiPriority w:val="0"/>
    <w:pPr>
      <w:widowControl/>
      <w:spacing w:before="248" w:after="100" w:afterAutospacing="1"/>
      <w:jc w:val="left"/>
    </w:pPr>
    <w:rPr>
      <w:rFonts w:ascii="宋体" w:hAnsi="宋体" w:cs="宋体"/>
    </w:rPr>
  </w:style>
  <w:style w:type="paragraph" w:styleId="27">
    <w:name w:val="index 1"/>
    <w:basedOn w:val="1"/>
    <w:next w:val="1"/>
    <w:semiHidden/>
    <w:qFormat/>
    <w:uiPriority w:val="99"/>
  </w:style>
  <w:style w:type="paragraph" w:styleId="28">
    <w:name w:val="Title"/>
    <w:basedOn w:val="1"/>
    <w:next w:val="1"/>
    <w:link w:val="59"/>
    <w:qFormat/>
    <w:uiPriority w:val="10"/>
    <w:pPr>
      <w:spacing w:before="240" w:after="60"/>
      <w:jc w:val="center"/>
      <w:outlineLvl w:val="0"/>
    </w:pPr>
    <w:rPr>
      <w:rFonts w:ascii="Cambria" w:hAnsi="Cambria"/>
      <w:b/>
      <w:bCs/>
      <w:kern w:val="2"/>
      <w:sz w:val="32"/>
      <w:szCs w:val="32"/>
    </w:rPr>
  </w:style>
  <w:style w:type="paragraph" w:styleId="29">
    <w:name w:val="annotation subject"/>
    <w:basedOn w:val="14"/>
    <w:next w:val="14"/>
    <w:link w:val="60"/>
    <w:uiPriority w:val="99"/>
    <w:rPr>
      <w:b/>
      <w:bCs/>
    </w:rPr>
  </w:style>
  <w:style w:type="table" w:styleId="31">
    <w:name w:val="Table Grid"/>
    <w:basedOn w:val="30"/>
    <w:uiPriority w:val="0"/>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2">
    <w:name w:val="Table Grid 5"/>
    <w:basedOn w:val="30"/>
    <w:uiPriority w:val="0"/>
    <w:pPr>
      <w:widowControl w:val="0"/>
      <w:jc w:val="both"/>
    </w:pPr>
    <w:rPr>
      <w:rFonts w:ascii="Times New Roman" w:hAnsi="Times New Roman" w:eastAsia="宋体" w:cs="Times New Roman"/>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4">
    <w:name w:val="page number"/>
    <w:uiPriority w:val="0"/>
    <w:rPr>
      <w:rFonts w:cs="Times New Roman"/>
    </w:rPr>
  </w:style>
  <w:style w:type="character" w:styleId="35">
    <w:name w:val="FollowedHyperlink"/>
    <w:basedOn w:val="33"/>
    <w:semiHidden/>
    <w:unhideWhenUsed/>
    <w:uiPriority w:val="99"/>
    <w:rPr>
      <w:color w:val="954F72" w:themeColor="followedHyperlink"/>
      <w:u w:val="single"/>
    </w:rPr>
  </w:style>
  <w:style w:type="character" w:styleId="36">
    <w:name w:val="Hyperlink"/>
    <w:qFormat/>
    <w:uiPriority w:val="0"/>
    <w:rPr>
      <w:rFonts w:cs="Times New Roman"/>
      <w:color w:val="0000FF"/>
      <w:u w:val="single"/>
    </w:rPr>
  </w:style>
  <w:style w:type="character" w:styleId="37">
    <w:name w:val="annotation reference"/>
    <w:uiPriority w:val="99"/>
    <w:rPr>
      <w:sz w:val="21"/>
      <w:szCs w:val="21"/>
    </w:rPr>
  </w:style>
  <w:style w:type="character" w:customStyle="1" w:styleId="38">
    <w:name w:val="页眉 字符"/>
    <w:basedOn w:val="33"/>
    <w:link w:val="22"/>
    <w:qFormat/>
    <w:uiPriority w:val="99"/>
    <w:rPr>
      <w:sz w:val="18"/>
      <w:szCs w:val="18"/>
    </w:rPr>
  </w:style>
  <w:style w:type="character" w:customStyle="1" w:styleId="39">
    <w:name w:val="页脚 字符"/>
    <w:basedOn w:val="33"/>
    <w:link w:val="21"/>
    <w:qFormat/>
    <w:uiPriority w:val="99"/>
    <w:rPr>
      <w:sz w:val="18"/>
      <w:szCs w:val="18"/>
    </w:rPr>
  </w:style>
  <w:style w:type="character" w:customStyle="1" w:styleId="40">
    <w:name w:val="标题 1 字符"/>
    <w:basedOn w:val="33"/>
    <w:link w:val="2"/>
    <w:qFormat/>
    <w:uiPriority w:val="0"/>
    <w:rPr>
      <w:rFonts w:ascii="Times New Roman" w:hAnsi="Times New Roman" w:eastAsia="宋体" w:cs="Times New Roman"/>
      <w:b/>
      <w:bCs/>
      <w:kern w:val="44"/>
      <w:sz w:val="44"/>
      <w:szCs w:val="44"/>
      <w:lang w:val="zh-CN"/>
    </w:rPr>
  </w:style>
  <w:style w:type="character" w:customStyle="1" w:styleId="41">
    <w:name w:val="标题 2 字符"/>
    <w:basedOn w:val="33"/>
    <w:link w:val="3"/>
    <w:qFormat/>
    <w:uiPriority w:val="0"/>
    <w:rPr>
      <w:rFonts w:ascii="Arial" w:hAnsi="Arial" w:eastAsia="黑体" w:cs="Times New Roman"/>
      <w:b/>
      <w:kern w:val="0"/>
      <w:sz w:val="32"/>
      <w:szCs w:val="20"/>
      <w:lang w:val="zh-CN"/>
    </w:rPr>
  </w:style>
  <w:style w:type="character" w:customStyle="1" w:styleId="42">
    <w:name w:val="标题 3 字符"/>
    <w:basedOn w:val="33"/>
    <w:link w:val="5"/>
    <w:qFormat/>
    <w:uiPriority w:val="0"/>
    <w:rPr>
      <w:rFonts w:ascii="Times New Roman" w:hAnsi="Times New Roman" w:eastAsia="宋体" w:cs="Times New Roman"/>
      <w:b/>
      <w:bCs/>
      <w:sz w:val="32"/>
      <w:szCs w:val="32"/>
      <w:lang w:val="zh-CN"/>
    </w:rPr>
  </w:style>
  <w:style w:type="character" w:customStyle="1" w:styleId="43">
    <w:name w:val="标题 4 字符"/>
    <w:basedOn w:val="33"/>
    <w:link w:val="6"/>
    <w:qFormat/>
    <w:uiPriority w:val="0"/>
    <w:rPr>
      <w:rFonts w:ascii="Arial" w:hAnsi="Arial" w:eastAsia="黑体" w:cs="Times New Roman"/>
      <w:b/>
      <w:bCs/>
      <w:sz w:val="28"/>
      <w:szCs w:val="28"/>
      <w:lang w:val="zh-CN"/>
    </w:rPr>
  </w:style>
  <w:style w:type="character" w:customStyle="1" w:styleId="44">
    <w:name w:val="标题 5 字符"/>
    <w:basedOn w:val="33"/>
    <w:link w:val="7"/>
    <w:qFormat/>
    <w:uiPriority w:val="9"/>
    <w:rPr>
      <w:rFonts w:ascii="Calibri" w:hAnsi="Calibri" w:eastAsia="宋体" w:cs="Times New Roman"/>
      <w:b/>
      <w:bCs/>
      <w:sz w:val="28"/>
      <w:szCs w:val="28"/>
    </w:rPr>
  </w:style>
  <w:style w:type="character" w:customStyle="1" w:styleId="45">
    <w:name w:val="标题 6 字符"/>
    <w:basedOn w:val="33"/>
    <w:link w:val="8"/>
    <w:qFormat/>
    <w:uiPriority w:val="9"/>
    <w:rPr>
      <w:rFonts w:ascii="Calibri Light" w:hAnsi="Calibri Light" w:eastAsia="宋体" w:cs="Times New Roman"/>
      <w:b/>
      <w:bCs/>
      <w:sz w:val="24"/>
      <w:szCs w:val="24"/>
    </w:rPr>
  </w:style>
  <w:style w:type="character" w:customStyle="1" w:styleId="46">
    <w:name w:val="标题 7 字符"/>
    <w:basedOn w:val="33"/>
    <w:link w:val="9"/>
    <w:qFormat/>
    <w:uiPriority w:val="9"/>
    <w:rPr>
      <w:rFonts w:ascii="Calibri" w:hAnsi="Calibri" w:eastAsia="宋体" w:cs="Times New Roman"/>
      <w:b/>
      <w:bCs/>
      <w:sz w:val="24"/>
      <w:szCs w:val="24"/>
    </w:rPr>
  </w:style>
  <w:style w:type="character" w:customStyle="1" w:styleId="47">
    <w:name w:val="标题 8 字符"/>
    <w:basedOn w:val="33"/>
    <w:link w:val="10"/>
    <w:qFormat/>
    <w:uiPriority w:val="9"/>
    <w:rPr>
      <w:rFonts w:ascii="Calibri Light" w:hAnsi="Calibri Light" w:eastAsia="宋体" w:cs="Times New Roman"/>
      <w:sz w:val="24"/>
      <w:szCs w:val="24"/>
    </w:rPr>
  </w:style>
  <w:style w:type="character" w:customStyle="1" w:styleId="48">
    <w:name w:val="标题 9 字符"/>
    <w:basedOn w:val="33"/>
    <w:link w:val="11"/>
    <w:qFormat/>
    <w:uiPriority w:val="9"/>
    <w:rPr>
      <w:rFonts w:ascii="Calibri Light" w:hAnsi="Calibri Light" w:eastAsia="宋体" w:cs="Times New Roman"/>
      <w:szCs w:val="21"/>
    </w:rPr>
  </w:style>
  <w:style w:type="character" w:customStyle="1" w:styleId="49">
    <w:name w:val="文档结构图 字符"/>
    <w:basedOn w:val="33"/>
    <w:link w:val="13"/>
    <w:semiHidden/>
    <w:qFormat/>
    <w:uiPriority w:val="99"/>
    <w:rPr>
      <w:rFonts w:ascii="Times New Roman" w:hAnsi="Times New Roman" w:eastAsia="宋体" w:cs="Times New Roman"/>
      <w:kern w:val="0"/>
      <w:sz w:val="24"/>
      <w:szCs w:val="24"/>
      <w:shd w:val="clear" w:color="auto" w:fill="000080"/>
      <w:lang w:val="zh-CN"/>
    </w:rPr>
  </w:style>
  <w:style w:type="character" w:customStyle="1" w:styleId="50">
    <w:name w:val="批注文字 字符"/>
    <w:basedOn w:val="33"/>
    <w:link w:val="14"/>
    <w:uiPriority w:val="99"/>
    <w:rPr>
      <w:rFonts w:ascii="Times New Roman" w:hAnsi="Times New Roman" w:eastAsia="宋体" w:cs="Times New Roman"/>
      <w:kern w:val="0"/>
      <w:sz w:val="24"/>
      <w:szCs w:val="24"/>
      <w:lang w:val="zh-CN"/>
    </w:rPr>
  </w:style>
  <w:style w:type="character" w:customStyle="1" w:styleId="51">
    <w:name w:val="正文文本 字符"/>
    <w:basedOn w:val="33"/>
    <w:link w:val="15"/>
    <w:uiPriority w:val="99"/>
    <w:rPr>
      <w:rFonts w:ascii="Times New Roman" w:hAnsi="Times New Roman" w:eastAsia="宋体" w:cs="Times New Roman"/>
      <w:kern w:val="0"/>
      <w:szCs w:val="24"/>
      <w:lang w:val="zh-CN"/>
    </w:rPr>
  </w:style>
  <w:style w:type="character" w:customStyle="1" w:styleId="52">
    <w:name w:val="正文文本缩进 字符"/>
    <w:basedOn w:val="33"/>
    <w:link w:val="16"/>
    <w:uiPriority w:val="99"/>
    <w:rPr>
      <w:rFonts w:ascii="Times New Roman" w:hAnsi="Times New Roman" w:eastAsia="宋体" w:cs="Times New Roman"/>
      <w:kern w:val="0"/>
      <w:sz w:val="24"/>
      <w:szCs w:val="24"/>
      <w:lang w:val="zh-CN"/>
    </w:rPr>
  </w:style>
  <w:style w:type="character" w:customStyle="1" w:styleId="53">
    <w:name w:val="纯文本 字符"/>
    <w:basedOn w:val="33"/>
    <w:uiPriority w:val="0"/>
    <w:rPr>
      <w:rFonts w:hAnsi="Courier New" w:cs="Courier New" w:asciiTheme="minorEastAsia"/>
      <w:kern w:val="0"/>
      <w:sz w:val="24"/>
      <w:szCs w:val="24"/>
    </w:rPr>
  </w:style>
  <w:style w:type="character" w:customStyle="1" w:styleId="54">
    <w:name w:val="日期 字符"/>
    <w:basedOn w:val="33"/>
    <w:link w:val="18"/>
    <w:qFormat/>
    <w:uiPriority w:val="0"/>
    <w:rPr>
      <w:rFonts w:ascii="仿宋_GB2312" w:hAnsi="Times New Roman" w:eastAsia="仿宋_GB2312" w:cs="Times New Roman"/>
      <w:sz w:val="28"/>
      <w:szCs w:val="24"/>
      <w:lang w:val="zh-CN"/>
    </w:rPr>
  </w:style>
  <w:style w:type="character" w:customStyle="1" w:styleId="55">
    <w:name w:val="正文文本缩进 2 字符"/>
    <w:basedOn w:val="33"/>
    <w:link w:val="19"/>
    <w:uiPriority w:val="0"/>
    <w:rPr>
      <w:rFonts w:ascii="Times New Roman" w:hAnsi="Times New Roman" w:eastAsia="宋体" w:cs="Times New Roman"/>
      <w:kern w:val="0"/>
      <w:sz w:val="24"/>
      <w:szCs w:val="24"/>
      <w:lang w:val="zh-CN"/>
    </w:rPr>
  </w:style>
  <w:style w:type="character" w:customStyle="1" w:styleId="56">
    <w:name w:val="批注框文本 字符"/>
    <w:basedOn w:val="33"/>
    <w:uiPriority w:val="99"/>
    <w:rPr>
      <w:rFonts w:ascii="Times New Roman" w:hAnsi="Times New Roman" w:eastAsia="宋体" w:cs="Times New Roman"/>
      <w:kern w:val="0"/>
      <w:sz w:val="18"/>
      <w:szCs w:val="18"/>
    </w:rPr>
  </w:style>
  <w:style w:type="character" w:customStyle="1" w:styleId="57">
    <w:name w:val="副标题 字符"/>
    <w:basedOn w:val="33"/>
    <w:link w:val="24"/>
    <w:uiPriority w:val="0"/>
    <w:rPr>
      <w:rFonts w:ascii="等线 Light" w:hAnsi="等线 Light" w:eastAsia="宋体" w:cs="Times New Roman"/>
      <w:b/>
      <w:bCs/>
      <w:kern w:val="28"/>
      <w:sz w:val="32"/>
      <w:szCs w:val="32"/>
      <w:lang w:val="zh-CN"/>
    </w:rPr>
  </w:style>
  <w:style w:type="character" w:customStyle="1" w:styleId="58">
    <w:name w:val="正文文本 2 字符"/>
    <w:basedOn w:val="33"/>
    <w:link w:val="25"/>
    <w:uiPriority w:val="0"/>
    <w:rPr>
      <w:rFonts w:ascii="Times New Roman" w:hAnsi="Times New Roman" w:eastAsia="宋体" w:cs="Times New Roman"/>
      <w:kern w:val="0"/>
      <w:szCs w:val="24"/>
      <w:lang w:val="zh-CN"/>
    </w:rPr>
  </w:style>
  <w:style w:type="character" w:customStyle="1" w:styleId="59">
    <w:name w:val="标题 字符"/>
    <w:basedOn w:val="33"/>
    <w:link w:val="28"/>
    <w:uiPriority w:val="10"/>
    <w:rPr>
      <w:rFonts w:ascii="Cambria" w:hAnsi="Cambria" w:eastAsia="宋体" w:cs="Times New Roman"/>
      <w:b/>
      <w:bCs/>
      <w:sz w:val="32"/>
      <w:szCs w:val="32"/>
    </w:rPr>
  </w:style>
  <w:style w:type="character" w:customStyle="1" w:styleId="60">
    <w:name w:val="批注主题 字符"/>
    <w:basedOn w:val="50"/>
    <w:link w:val="29"/>
    <w:uiPriority w:val="99"/>
    <w:rPr>
      <w:rFonts w:ascii="Times New Roman" w:hAnsi="Times New Roman" w:eastAsia="宋体" w:cs="Times New Roman"/>
      <w:b/>
      <w:bCs/>
      <w:kern w:val="0"/>
      <w:sz w:val="24"/>
      <w:szCs w:val="24"/>
      <w:lang w:val="zh-CN"/>
    </w:rPr>
  </w:style>
  <w:style w:type="paragraph" w:customStyle="1" w:styleId="61">
    <w:name w:val="正文文字缩进"/>
    <w:uiPriority w:val="99"/>
    <w:pPr>
      <w:spacing w:line="351" w:lineRule="atLeast"/>
      <w:ind w:firstLine="555"/>
      <w:textAlignment w:val="baseline"/>
    </w:pPr>
    <w:rPr>
      <w:rFonts w:ascii="Times New Roman" w:hAnsi="Times New Roman" w:eastAsia="宋体" w:cs="Times New Roman"/>
      <w:color w:val="000000"/>
      <w:kern w:val="0"/>
      <w:sz w:val="28"/>
      <w:szCs w:val="20"/>
      <w:u w:color="000000"/>
      <w:lang w:val="en-US" w:eastAsia="zh-CN" w:bidi="ar-SA"/>
    </w:rPr>
  </w:style>
  <w:style w:type="paragraph" w:customStyle="1" w:styleId="62">
    <w:name w:val="样式1"/>
    <w:basedOn w:val="2"/>
    <w:link w:val="106"/>
    <w:qFormat/>
    <w:uiPriority w:val="0"/>
    <w:pPr>
      <w:spacing w:line="640" w:lineRule="exact"/>
      <w:jc w:val="center"/>
    </w:pPr>
    <w:rPr>
      <w:rFonts w:ascii="方正小标宋简体" w:hAnsi="STZhongsong" w:eastAsia="方正小标宋简体"/>
      <w:b w:val="0"/>
    </w:rPr>
  </w:style>
  <w:style w:type="paragraph" w:customStyle="1" w:styleId="63">
    <w:name w:val="样式2"/>
    <w:basedOn w:val="2"/>
    <w:link w:val="105"/>
    <w:qFormat/>
    <w:uiPriority w:val="0"/>
    <w:pPr>
      <w:spacing w:line="640" w:lineRule="exact"/>
      <w:jc w:val="center"/>
    </w:pPr>
    <w:rPr>
      <w:rFonts w:ascii="方正小标宋简体" w:hAnsi="STZhongsong" w:eastAsia="方正小标宋简体"/>
      <w:b w:val="0"/>
    </w:rPr>
  </w:style>
  <w:style w:type="paragraph" w:customStyle="1" w:styleId="64">
    <w:name w:val="样式3"/>
    <w:basedOn w:val="2"/>
    <w:qFormat/>
    <w:uiPriority w:val="99"/>
    <w:pPr>
      <w:spacing w:line="640" w:lineRule="exact"/>
      <w:jc w:val="center"/>
    </w:pPr>
    <w:rPr>
      <w:rFonts w:ascii="方正小标宋简体" w:hAnsi="STZhongsong" w:eastAsia="方正小标宋简体"/>
      <w:b w:val="0"/>
    </w:rPr>
  </w:style>
  <w:style w:type="character" w:customStyle="1" w:styleId="65">
    <w:name w:val="批注框文本 字符1"/>
    <w:link w:val="20"/>
    <w:qFormat/>
    <w:locked/>
    <w:uiPriority w:val="99"/>
    <w:rPr>
      <w:rFonts w:ascii="Times New Roman" w:hAnsi="Times New Roman" w:eastAsia="宋体" w:cs="Times New Roman"/>
      <w:kern w:val="0"/>
      <w:sz w:val="18"/>
      <w:szCs w:val="18"/>
      <w:lang w:val="zh-CN"/>
    </w:rPr>
  </w:style>
  <w:style w:type="character" w:customStyle="1" w:styleId="66">
    <w:name w:val="页脚 字符1"/>
    <w:qFormat/>
    <w:locked/>
    <w:uiPriority w:val="99"/>
    <w:rPr>
      <w:rFonts w:ascii="Times New Roman" w:hAnsi="Times New Roman" w:eastAsia="宋体" w:cs="Times New Roman"/>
      <w:sz w:val="18"/>
      <w:szCs w:val="18"/>
      <w:lang w:val="zh-CN"/>
    </w:rPr>
  </w:style>
  <w:style w:type="paragraph" w:customStyle="1" w:styleId="67">
    <w:name w:val="列出段落1"/>
    <w:basedOn w:val="1"/>
    <w:link w:val="72"/>
    <w:qFormat/>
    <w:uiPriority w:val="0"/>
    <w:pPr>
      <w:widowControl/>
      <w:ind w:left="720" w:firstLine="360"/>
      <w:jc w:val="left"/>
    </w:pPr>
    <w:rPr>
      <w:rFonts w:ascii="Calibri" w:hAnsi="Calibri"/>
      <w:sz w:val="22"/>
      <w:szCs w:val="20"/>
      <w:lang w:val="zh-CN" w:eastAsia="en-US"/>
    </w:rPr>
  </w:style>
  <w:style w:type="paragraph" w:customStyle="1" w:styleId="68">
    <w:name w:val="1111111199999"/>
    <w:basedOn w:val="1"/>
    <w:link w:val="69"/>
    <w:uiPriority w:val="99"/>
    <w:pPr>
      <w:widowControl/>
      <w:spacing w:beforeLines="50" w:line="240" w:lineRule="exact"/>
      <w:ind w:firstLine="514" w:firstLineChars="214"/>
      <w:jc w:val="left"/>
    </w:pPr>
    <w:rPr>
      <w:sz w:val="21"/>
      <w:szCs w:val="20"/>
      <w:lang w:val="zh-CN"/>
    </w:rPr>
  </w:style>
  <w:style w:type="character" w:customStyle="1" w:styleId="69">
    <w:name w:val="1111111199999 Char"/>
    <w:link w:val="68"/>
    <w:locked/>
    <w:uiPriority w:val="99"/>
    <w:rPr>
      <w:rFonts w:ascii="Times New Roman" w:hAnsi="Times New Roman" w:eastAsia="宋体" w:cs="Times New Roman"/>
      <w:kern w:val="0"/>
      <w:szCs w:val="20"/>
      <w:lang w:val="zh-CN"/>
    </w:rPr>
  </w:style>
  <w:style w:type="character" w:customStyle="1" w:styleId="70">
    <w:name w:val="apple-style-span"/>
    <w:uiPriority w:val="99"/>
  </w:style>
  <w:style w:type="character" w:customStyle="1" w:styleId="71">
    <w:name w:val="页眉 字符1"/>
    <w:locked/>
    <w:uiPriority w:val="99"/>
    <w:rPr>
      <w:rFonts w:ascii="Times New Roman" w:hAnsi="Times New Roman" w:eastAsia="宋体" w:cs="Times New Roman"/>
      <w:sz w:val="18"/>
      <w:szCs w:val="18"/>
      <w:lang w:val="zh-CN"/>
    </w:rPr>
  </w:style>
  <w:style w:type="character" w:customStyle="1" w:styleId="72">
    <w:name w:val="List Paragraph Char"/>
    <w:link w:val="67"/>
    <w:qFormat/>
    <w:locked/>
    <w:uiPriority w:val="0"/>
    <w:rPr>
      <w:rFonts w:ascii="Calibri" w:hAnsi="Calibri" w:eastAsia="宋体" w:cs="Times New Roman"/>
      <w:kern w:val="0"/>
      <w:sz w:val="22"/>
      <w:szCs w:val="20"/>
      <w:lang w:val="zh-CN" w:eastAsia="en-US"/>
    </w:rPr>
  </w:style>
  <w:style w:type="paragraph" w:customStyle="1" w:styleId="73">
    <w:name w:val="Char Char Char Char"/>
    <w:basedOn w:val="1"/>
    <w:qFormat/>
    <w:uiPriority w:val="99"/>
    <w:rPr>
      <w:kern w:val="2"/>
      <w:szCs w:val="36"/>
    </w:rPr>
  </w:style>
  <w:style w:type="character" w:customStyle="1" w:styleId="74">
    <w:name w:val="纯文本 字符1"/>
    <w:link w:val="17"/>
    <w:qFormat/>
    <w:locked/>
    <w:uiPriority w:val="0"/>
    <w:rPr>
      <w:rFonts w:ascii="宋体" w:hAnsi="Courier New" w:eastAsia="宋体" w:cs="Courier New"/>
      <w:sz w:val="24"/>
      <w:szCs w:val="21"/>
    </w:rPr>
  </w:style>
  <w:style w:type="character" w:customStyle="1" w:styleId="75">
    <w:name w:val="Char Char4"/>
    <w:qFormat/>
    <w:locked/>
    <w:uiPriority w:val="99"/>
    <w:rPr>
      <w:rFonts w:ascii="宋体" w:hAnsi="Courier New" w:eastAsia="宋体"/>
      <w:kern w:val="2"/>
      <w:sz w:val="21"/>
      <w:lang w:bidi="ar-SA"/>
    </w:rPr>
  </w:style>
  <w:style w:type="character" w:customStyle="1" w:styleId="76">
    <w:name w:val="样式 (中文) 仿宋_GB2312 三号"/>
    <w:qFormat/>
    <w:uiPriority w:val="99"/>
    <w:rPr>
      <w:rFonts w:hint="eastAsia" w:ascii="仿宋_GB2312" w:eastAsia="仿宋_GB2312"/>
      <w:sz w:val="32"/>
    </w:rPr>
  </w:style>
  <w:style w:type="character" w:customStyle="1" w:styleId="77">
    <w:name w:val="Char Char3"/>
    <w:qFormat/>
    <w:locked/>
    <w:uiPriority w:val="99"/>
    <w:rPr>
      <w:rFonts w:ascii="宋体" w:hAnsi="宋体" w:eastAsia="宋体"/>
      <w:sz w:val="18"/>
      <w:szCs w:val="18"/>
      <w:lang w:val="en-US" w:eastAsia="zh-CN" w:bidi="ar-SA"/>
    </w:rPr>
  </w:style>
  <w:style w:type="character" w:customStyle="1" w:styleId="78">
    <w:name w:val="列表段落 字符"/>
    <w:link w:val="79"/>
    <w:qFormat/>
    <w:locked/>
    <w:uiPriority w:val="34"/>
    <w:rPr>
      <w:rFonts w:ascii="Calibri" w:hAnsi="Calibri"/>
    </w:rPr>
  </w:style>
  <w:style w:type="paragraph" w:styleId="79">
    <w:name w:val="List Paragraph"/>
    <w:basedOn w:val="1"/>
    <w:link w:val="78"/>
    <w:qFormat/>
    <w:uiPriority w:val="34"/>
    <w:pPr>
      <w:ind w:firstLine="420" w:firstLineChars="200"/>
    </w:pPr>
    <w:rPr>
      <w:rFonts w:ascii="Calibri" w:hAnsi="Calibri" w:eastAsiaTheme="minorEastAsia" w:cstheme="minorBidi"/>
      <w:kern w:val="2"/>
      <w:sz w:val="21"/>
      <w:szCs w:val="22"/>
    </w:rPr>
  </w:style>
  <w:style w:type="character" w:customStyle="1" w:styleId="80">
    <w:name w:val="未处理的提及1"/>
    <w:semiHidden/>
    <w:unhideWhenUsed/>
    <w:uiPriority w:val="99"/>
    <w:rPr>
      <w:color w:val="605E5C"/>
      <w:shd w:val="clear" w:color="auto" w:fill="E1DFDD"/>
    </w:rPr>
  </w:style>
  <w:style w:type="paragraph" w:customStyle="1" w:styleId="81">
    <w:name w:val="普通文字"/>
    <w:basedOn w:val="1"/>
    <w:uiPriority w:val="0"/>
    <w:pPr>
      <w:widowControl/>
      <w:spacing w:line="742" w:lineRule="atLeast"/>
      <w:ind w:firstLine="419"/>
      <w:textAlignment w:val="baseline"/>
    </w:pPr>
    <w:rPr>
      <w:rFonts w:ascii="宋体"/>
      <w:color w:val="000000"/>
      <w:sz w:val="21"/>
      <w:szCs w:val="20"/>
      <w:u w:color="000000"/>
    </w:rPr>
  </w:style>
  <w:style w:type="table" w:customStyle="1" w:styleId="82">
    <w:name w:val="网格型1"/>
    <w:basedOn w:val="30"/>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3">
    <w:name w:val="Char Char Char Char11"/>
    <w:basedOn w:val="1"/>
    <w:qFormat/>
    <w:uiPriority w:val="0"/>
    <w:pPr>
      <w:spacing w:line="360" w:lineRule="auto"/>
    </w:pPr>
    <w:rPr>
      <w:rFonts w:ascii="仿宋_GB2312" w:eastAsia="仿宋_GB2312"/>
      <w:b/>
      <w:kern w:val="2"/>
      <w:sz w:val="32"/>
      <w:szCs w:val="32"/>
    </w:rPr>
  </w:style>
  <w:style w:type="paragraph" w:customStyle="1" w:styleId="84">
    <w:name w:val="Char1"/>
    <w:basedOn w:val="1"/>
    <w:uiPriority w:val="0"/>
    <w:pPr>
      <w:spacing w:line="360" w:lineRule="auto"/>
    </w:pPr>
    <w:rPr>
      <w:rFonts w:ascii="仿宋_GB2312" w:eastAsia="仿宋_GB2312"/>
      <w:b/>
      <w:kern w:val="2"/>
      <w:sz w:val="32"/>
      <w:szCs w:val="32"/>
    </w:rPr>
  </w:style>
  <w:style w:type="paragraph" w:customStyle="1" w:styleId="85">
    <w:name w:val="1"/>
    <w:basedOn w:val="1"/>
    <w:next w:val="79"/>
    <w:qFormat/>
    <w:uiPriority w:val="34"/>
    <w:pPr>
      <w:ind w:firstLine="420" w:firstLineChars="200"/>
    </w:pPr>
    <w:rPr>
      <w:rFonts w:ascii="Calibri" w:hAnsi="Calibri"/>
      <w:kern w:val="2"/>
      <w:sz w:val="21"/>
      <w:szCs w:val="22"/>
    </w:rPr>
  </w:style>
  <w:style w:type="paragraph" w:customStyle="1" w:styleId="86">
    <w:name w:val="Char1 Char Char Char"/>
    <w:basedOn w:val="1"/>
    <w:uiPriority w:val="0"/>
    <w:rPr>
      <w:rFonts w:ascii="Tahoma" w:hAnsi="Tahoma"/>
      <w:kern w:val="2"/>
      <w:szCs w:val="20"/>
    </w:rPr>
  </w:style>
  <w:style w:type="character" w:customStyle="1" w:styleId="87">
    <w:name w:val="正文缩进 字符"/>
    <w:link w:val="4"/>
    <w:uiPriority w:val="0"/>
    <w:rPr>
      <w:rFonts w:ascii="Times New Roman" w:hAnsi="Times New Roman" w:eastAsia="宋体" w:cs="Times New Roman"/>
      <w:kern w:val="0"/>
      <w:sz w:val="24"/>
      <w:szCs w:val="24"/>
      <w:lang w:val="zh-CN"/>
    </w:rPr>
  </w:style>
  <w:style w:type="paragraph" w:customStyle="1" w:styleId="88">
    <w:name w:val="项目符号1"/>
    <w:basedOn w:val="1"/>
    <w:qFormat/>
    <w:uiPriority w:val="0"/>
    <w:pPr>
      <w:numPr>
        <w:ilvl w:val="0"/>
        <w:numId w:val="1"/>
      </w:numPr>
      <w:spacing w:line="360" w:lineRule="auto"/>
      <w:ind w:firstLine="0"/>
    </w:pPr>
    <w:rPr>
      <w:kern w:val="2"/>
      <w:sz w:val="32"/>
      <w:szCs w:val="20"/>
    </w:rPr>
  </w:style>
  <w:style w:type="paragraph" w:customStyle="1" w:styleId="89">
    <w:name w:val="正文-缩进"/>
    <w:uiPriority w:val="0"/>
    <w:pPr>
      <w:widowControl w:val="0"/>
      <w:spacing w:before="40" w:after="40" w:line="240" w:lineRule="atLeast"/>
      <w:ind w:firstLine="200" w:firstLineChars="200"/>
      <w:jc w:val="both"/>
      <w:textAlignment w:val="center"/>
    </w:pPr>
    <w:rPr>
      <w:rFonts w:ascii="Arial" w:hAnsi="Arial" w:eastAsia="宋体" w:cs="Times New Roman"/>
      <w:kern w:val="21"/>
      <w:sz w:val="21"/>
      <w:szCs w:val="20"/>
      <w:lang w:val="en-US" w:eastAsia="zh-CN" w:bidi="ar-SA"/>
    </w:rPr>
  </w:style>
  <w:style w:type="paragraph" w:customStyle="1" w:styleId="90">
    <w:name w:val="Char Char3 Char Char Char Char Char Char Char Char"/>
    <w:basedOn w:val="1"/>
    <w:uiPriority w:val="0"/>
    <w:pPr>
      <w:widowControl/>
      <w:spacing w:after="160" w:line="240" w:lineRule="exact"/>
      <w:jc w:val="left"/>
    </w:pPr>
    <w:rPr>
      <w:kern w:val="1"/>
      <w:sz w:val="21"/>
      <w:szCs w:val="20"/>
      <w:lang w:eastAsia="ar-SA"/>
    </w:rPr>
  </w:style>
  <w:style w:type="paragraph" w:customStyle="1" w:styleId="91">
    <w:name w:val="修订1"/>
    <w:hidden/>
    <w:semiHidden/>
    <w:uiPriority w:val="99"/>
    <w:rPr>
      <w:rFonts w:ascii="Times New Roman" w:hAnsi="Times New Roman" w:eastAsia="宋体" w:cs="Times New Roman"/>
      <w:kern w:val="0"/>
      <w:sz w:val="24"/>
      <w:szCs w:val="24"/>
      <w:lang w:val="en-US" w:eastAsia="zh-CN" w:bidi="ar-SA"/>
    </w:rPr>
  </w:style>
  <w:style w:type="paragraph" w:customStyle="1" w:styleId="92">
    <w:name w:val="样式 标题 2 + 宋体 五号 非加粗 黑色"/>
    <w:basedOn w:val="3"/>
    <w:next w:val="1"/>
    <w:qFormat/>
    <w:uiPriority w:val="99"/>
    <w:pPr>
      <w:widowControl w:val="0"/>
      <w:tabs>
        <w:tab w:val="left" w:pos="1680"/>
      </w:tabs>
      <w:spacing w:line="416" w:lineRule="atLeast"/>
      <w:ind w:left="1680" w:hanging="420"/>
      <w:jc w:val="both"/>
    </w:pPr>
    <w:rPr>
      <w:rFonts w:ascii="宋体" w:hAnsi="宋体" w:eastAsia="宋体" w:cs="宋体"/>
      <w:b w:val="0"/>
      <w:color w:val="000000"/>
      <w:kern w:val="2"/>
      <w:sz w:val="21"/>
      <w:szCs w:val="21"/>
      <w:lang w:val="en-US"/>
    </w:rPr>
  </w:style>
  <w:style w:type="character" w:customStyle="1" w:styleId="93">
    <w:name w:val="正文文本缩进 2 Char"/>
    <w:semiHidden/>
    <w:qFormat/>
    <w:uiPriority w:val="99"/>
    <w:rPr>
      <w:kern w:val="0"/>
      <w:sz w:val="24"/>
      <w:szCs w:val="24"/>
    </w:rPr>
  </w:style>
  <w:style w:type="character" w:customStyle="1" w:styleId="94">
    <w:name w:val="标题 1 Char"/>
    <w:uiPriority w:val="9"/>
    <w:rPr>
      <w:b/>
      <w:bCs/>
      <w:kern w:val="44"/>
      <w:sz w:val="44"/>
      <w:szCs w:val="44"/>
    </w:rPr>
  </w:style>
  <w:style w:type="character" w:customStyle="1" w:styleId="95">
    <w:name w:val="标题 2 Char"/>
    <w:semiHidden/>
    <w:uiPriority w:val="9"/>
    <w:rPr>
      <w:rFonts w:ascii="Cambria" w:hAnsi="Cambria" w:eastAsia="宋体" w:cs="Times New Roman"/>
      <w:b/>
      <w:bCs/>
      <w:kern w:val="0"/>
      <w:sz w:val="32"/>
      <w:szCs w:val="32"/>
    </w:rPr>
  </w:style>
  <w:style w:type="character" w:customStyle="1" w:styleId="96">
    <w:name w:val="正文文本 2 Char"/>
    <w:semiHidden/>
    <w:qFormat/>
    <w:uiPriority w:val="99"/>
    <w:rPr>
      <w:kern w:val="0"/>
      <w:sz w:val="24"/>
      <w:szCs w:val="24"/>
    </w:rPr>
  </w:style>
  <w:style w:type="character" w:customStyle="1" w:styleId="97">
    <w:name w:val="正文文本缩进 Char"/>
    <w:qFormat/>
    <w:uiPriority w:val="99"/>
    <w:rPr>
      <w:kern w:val="0"/>
      <w:sz w:val="24"/>
      <w:szCs w:val="24"/>
    </w:rPr>
  </w:style>
  <w:style w:type="character" w:customStyle="1" w:styleId="98">
    <w:name w:val="文档结构图 Char"/>
    <w:semiHidden/>
    <w:uiPriority w:val="99"/>
    <w:rPr>
      <w:kern w:val="0"/>
      <w:sz w:val="16"/>
      <w:szCs w:val="0"/>
    </w:rPr>
  </w:style>
  <w:style w:type="character" w:customStyle="1" w:styleId="99">
    <w:name w:val="font01"/>
    <w:uiPriority w:val="0"/>
    <w:rPr>
      <w:rFonts w:ascii="Arial" w:hAnsi="Arial" w:cs="Arial"/>
      <w:color w:val="000000"/>
      <w:sz w:val="24"/>
      <w:szCs w:val="24"/>
      <w:u w:val="none"/>
    </w:rPr>
  </w:style>
  <w:style w:type="character" w:customStyle="1" w:styleId="100">
    <w:name w:val="正文文本 Char"/>
    <w:semiHidden/>
    <w:qFormat/>
    <w:uiPriority w:val="99"/>
    <w:rPr>
      <w:kern w:val="0"/>
      <w:sz w:val="24"/>
      <w:szCs w:val="24"/>
    </w:rPr>
  </w:style>
  <w:style w:type="paragraph" w:customStyle="1" w:styleId="101">
    <w:name w:val="列表段落1"/>
    <w:basedOn w:val="1"/>
    <w:qFormat/>
    <w:uiPriority w:val="0"/>
    <w:pPr>
      <w:widowControl/>
      <w:ind w:left="720" w:firstLine="360"/>
      <w:jc w:val="left"/>
    </w:pPr>
    <w:rPr>
      <w:rFonts w:ascii="Calibri" w:hAnsi="Calibri"/>
      <w:sz w:val="22"/>
      <w:szCs w:val="20"/>
      <w:lang w:val="zh-CN" w:eastAsia="en-US"/>
    </w:rPr>
  </w:style>
  <w:style w:type="paragraph" w:customStyle="1" w:styleId="102">
    <w:name w:val="Char Char Char Char1"/>
    <w:basedOn w:val="1"/>
    <w:qFormat/>
    <w:uiPriority w:val="0"/>
    <w:rPr>
      <w:rFonts w:ascii="仿宋_GB2312" w:eastAsia="仿宋_GB2312"/>
      <w:b/>
      <w:kern w:val="2"/>
      <w:sz w:val="32"/>
      <w:szCs w:val="32"/>
    </w:rPr>
  </w:style>
  <w:style w:type="character" w:customStyle="1" w:styleId="103">
    <w:name w:val="bodytextnarrow1"/>
    <w:qFormat/>
    <w:uiPriority w:val="0"/>
    <w:rPr>
      <w:rFonts w:hint="default" w:ascii="Arial" w:hAnsi="Arial" w:cs="Arial"/>
      <w:color w:val="606060"/>
      <w:sz w:val="20"/>
      <w:szCs w:val="20"/>
    </w:rPr>
  </w:style>
  <w:style w:type="character" w:customStyle="1" w:styleId="104">
    <w:name w:val="纯文本 Char"/>
    <w:uiPriority w:val="0"/>
    <w:rPr>
      <w:rFonts w:ascii="宋体" w:hAnsi="Courier New"/>
    </w:rPr>
  </w:style>
  <w:style w:type="character" w:customStyle="1" w:styleId="105">
    <w:name w:val="样式2 Char"/>
    <w:link w:val="63"/>
    <w:uiPriority w:val="0"/>
    <w:rPr>
      <w:rFonts w:ascii="方正小标宋简体" w:hAnsi="STZhongsong" w:eastAsia="方正小标宋简体" w:cs="Times New Roman"/>
      <w:bCs/>
      <w:kern w:val="44"/>
      <w:sz w:val="44"/>
      <w:szCs w:val="44"/>
      <w:lang w:val="zh-CN"/>
    </w:rPr>
  </w:style>
  <w:style w:type="character" w:customStyle="1" w:styleId="106">
    <w:name w:val="样式1 Char"/>
    <w:link w:val="62"/>
    <w:uiPriority w:val="0"/>
    <w:rPr>
      <w:rFonts w:ascii="方正小标宋简体" w:hAnsi="STZhongsong" w:eastAsia="方正小标宋简体" w:cs="Times New Roman"/>
      <w:bCs/>
      <w:kern w:val="44"/>
      <w:sz w:val="44"/>
      <w:szCs w:val="44"/>
      <w:lang w:val="zh-CN"/>
    </w:rPr>
  </w:style>
  <w:style w:type="paragraph" w:customStyle="1" w:styleId="107">
    <w:name w:val="妇幼表格"/>
    <w:basedOn w:val="1"/>
    <w:link w:val="108"/>
    <w:qFormat/>
    <w:uiPriority w:val="0"/>
    <w:pPr>
      <w:spacing w:line="360" w:lineRule="auto"/>
    </w:pPr>
    <w:rPr>
      <w:rFonts w:ascii="仿宋" w:hAnsi="仿宋" w:eastAsia="仿宋"/>
      <w:kern w:val="2"/>
      <w:szCs w:val="28"/>
    </w:rPr>
  </w:style>
  <w:style w:type="character" w:customStyle="1" w:styleId="108">
    <w:name w:val="妇幼表格 Char"/>
    <w:link w:val="107"/>
    <w:uiPriority w:val="0"/>
    <w:rPr>
      <w:rFonts w:ascii="仿宋" w:hAnsi="仿宋" w:eastAsia="仿宋" w:cs="Times New Roman"/>
      <w:sz w:val="24"/>
      <w:szCs w:val="28"/>
    </w:rPr>
  </w:style>
  <w:style w:type="paragraph" w:customStyle="1" w:styleId="109">
    <w:name w:val="CM12"/>
    <w:basedOn w:val="1"/>
    <w:next w:val="1"/>
    <w:uiPriority w:val="0"/>
    <w:pPr>
      <w:autoSpaceDE w:val="0"/>
      <w:autoSpaceDN w:val="0"/>
      <w:adjustRightInd w:val="0"/>
      <w:spacing w:after="390"/>
      <w:jc w:val="left"/>
    </w:pPr>
    <w:rPr>
      <w:rFonts w:ascii="PJWEVC+SimSun" w:eastAsia="PJWEVC+SimSun" w:cs="STXihei"/>
    </w:rPr>
  </w:style>
  <w:style w:type="character" w:customStyle="1" w:styleId="110">
    <w:name w:val="font31"/>
    <w:uiPriority w:val="0"/>
    <w:rPr>
      <w:rFonts w:hint="eastAsia" w:ascii="宋体" w:hAnsi="宋体" w:eastAsia="宋体"/>
      <w:color w:val="000000"/>
      <w:sz w:val="21"/>
      <w:szCs w:val="21"/>
      <w:u w:val="none"/>
    </w:rPr>
  </w:style>
  <w:style w:type="character" w:customStyle="1" w:styleId="111">
    <w:name w:val="font11"/>
    <w:uiPriority w:val="0"/>
    <w:rPr>
      <w:rFonts w:hint="default" w:ascii="Times New Roman" w:hAnsi="Times New Roman" w:cs="Times New Roman"/>
      <w:color w:val="000000"/>
      <w:sz w:val="22"/>
      <w:szCs w:val="22"/>
      <w:u w:val="none"/>
    </w:rPr>
  </w:style>
  <w:style w:type="paragraph" w:customStyle="1" w:styleId="112">
    <w:name w:val="_Style 58"/>
    <w:basedOn w:val="1"/>
    <w:next w:val="79"/>
    <w:qFormat/>
    <w:uiPriority w:val="34"/>
    <w:pPr>
      <w:ind w:firstLine="420" w:firstLineChars="200"/>
    </w:pPr>
    <w:rPr>
      <w:rFonts w:ascii="Calibri" w:hAnsi="Calibri"/>
      <w:kern w:val="2"/>
      <w:sz w:val="21"/>
      <w:szCs w:val="22"/>
    </w:rPr>
  </w:style>
  <w:style w:type="paragraph" w:customStyle="1" w:styleId="113">
    <w:name w:val="p0"/>
    <w:basedOn w:val="1"/>
    <w:uiPriority w:val="0"/>
    <w:pPr>
      <w:widowControl/>
      <w:spacing w:before="100" w:beforeAutospacing="1" w:after="100" w:afterAutospacing="1"/>
      <w:jc w:val="left"/>
    </w:pPr>
    <w:rPr>
      <w:rFonts w:ascii="宋体" w:hAnsi="宋体" w:cs="宋体"/>
    </w:rPr>
  </w:style>
  <w:style w:type="character" w:customStyle="1" w:styleId="114">
    <w:name w:val="fontstyle01"/>
    <w:basedOn w:val="33"/>
    <w:uiPriority w:val="0"/>
    <w:rPr>
      <w:rFonts w:hint="eastAsia" w:ascii="宋体" w:hAnsi="宋体" w:eastAsia="宋体"/>
      <w:color w:val="000000"/>
      <w:sz w:val="24"/>
      <w:szCs w:val="24"/>
    </w:rPr>
  </w:style>
  <w:style w:type="character" w:customStyle="1" w:styleId="115">
    <w:name w:val="fontstyle21"/>
    <w:basedOn w:val="33"/>
    <w:uiPriority w:val="0"/>
    <w:rPr>
      <w:rFonts w:hint="default" w:ascii="Bold" w:hAnsi="Bold"/>
      <w:b/>
      <w:bCs/>
      <w:color w:val="000000"/>
      <w:sz w:val="24"/>
      <w:szCs w:val="24"/>
    </w:rPr>
  </w:style>
  <w:style w:type="paragraph" w:customStyle="1" w:styleId="116">
    <w:name w:val="说明书正文"/>
    <w:basedOn w:val="15"/>
    <w:next w:val="1"/>
    <w:uiPriority w:val="0"/>
    <w:rPr>
      <w:kern w:val="2"/>
      <w:szCs w:val="21"/>
      <w:lang w:val="en-US"/>
    </w:rPr>
  </w:style>
  <w:style w:type="paragraph" w:customStyle="1" w:styleId="117">
    <w:name w:val="Revision"/>
    <w:hidden/>
    <w:semiHidden/>
    <w:uiPriority w:val="99"/>
    <w:rPr>
      <w:rFonts w:ascii="Times New Roman" w:hAnsi="Times New Roman" w:eastAsia="宋体" w:cs="Times New Roman"/>
      <w:kern w:val="0"/>
      <w:sz w:val="24"/>
      <w:szCs w:val="24"/>
      <w:lang w:val="en-US" w:eastAsia="zh-CN" w:bidi="ar-SA"/>
    </w:rPr>
  </w:style>
  <w:style w:type="character" w:customStyle="1" w:styleId="118">
    <w:name w:val="font51"/>
    <w:basedOn w:val="33"/>
    <w:uiPriority w:val="0"/>
    <w:rPr>
      <w:rFonts w:hint="eastAsia" w:ascii="宋体" w:hAnsi="宋体" w:eastAsia="宋体" w:cs="宋体"/>
      <w:color w:val="000000"/>
      <w:sz w:val="20"/>
      <w:szCs w:val="20"/>
      <w:u w:val="none"/>
    </w:rPr>
  </w:style>
  <w:style w:type="character" w:customStyle="1" w:styleId="119">
    <w:name w:val="font61"/>
    <w:basedOn w:val="33"/>
    <w:uiPriority w:val="0"/>
    <w:rPr>
      <w:rFonts w:hint="eastAsia" w:ascii="宋体" w:hAnsi="宋体" w:eastAsia="宋体" w:cs="宋体"/>
      <w:b/>
      <w:bCs/>
      <w:color w:val="000000"/>
      <w:sz w:val="20"/>
      <w:szCs w:val="20"/>
      <w:u w:val="none"/>
    </w:rPr>
  </w:style>
  <w:style w:type="character" w:customStyle="1" w:styleId="120">
    <w:name w:val="font41"/>
    <w:basedOn w:val="33"/>
    <w:uiPriority w:val="0"/>
    <w:rPr>
      <w:rFonts w:hint="eastAsia" w:ascii="宋体" w:hAnsi="宋体" w:eastAsia="宋体" w:cs="宋体"/>
      <w:b/>
      <w:bCs/>
      <w:color w:val="000000"/>
      <w:sz w:val="20"/>
      <w:szCs w:val="20"/>
      <w:u w:val="none"/>
    </w:rPr>
  </w:style>
  <w:style w:type="character" w:customStyle="1" w:styleId="121">
    <w:name w:val="font101"/>
    <w:basedOn w:val="33"/>
    <w:uiPriority w:val="0"/>
    <w:rPr>
      <w:rFonts w:ascii="Calibri" w:hAnsi="Calibri" w:cs="Calibri"/>
      <w:color w:val="000000"/>
      <w:sz w:val="20"/>
      <w:szCs w:val="20"/>
      <w:u w:val="none"/>
    </w:rPr>
  </w:style>
  <w:style w:type="character" w:customStyle="1" w:styleId="122">
    <w:name w:val="font91"/>
    <w:basedOn w:val="33"/>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D624-0EB2-41DF-8D7F-F4BD0D816D01}">
  <ds:schemaRefs/>
</ds:datastoreItem>
</file>

<file path=docProps/app.xml><?xml version="1.0" encoding="utf-8"?>
<Properties xmlns="http://schemas.openxmlformats.org/officeDocument/2006/extended-properties" xmlns:vt="http://schemas.openxmlformats.org/officeDocument/2006/docPropsVTypes">
  <Template>Normal</Template>
  <Pages>9</Pages>
  <Words>3851</Words>
  <Characters>4505</Characters>
  <Lines>442</Lines>
  <Paragraphs>124</Paragraphs>
  <TotalTime>1</TotalTime>
  <ScaleCrop>false</ScaleCrop>
  <LinksUpToDate>false</LinksUpToDate>
  <CharactersWithSpaces>4602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2020-08-06T03:34:00Z</dcterms:created>
  <dc:creator>启帆 孙</dc:creator>
  <cp:lastModifiedBy>十四.</cp:lastModifiedBy>
  <dcterms:modified xsi:type="dcterms:W3CDTF">2022-06-17T06:14:08Z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C073ADA18B9247179AF60F6918251DCA</vt:lpwstr>
  </property>
</Properties>
</file>