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3B0D" w14:textId="77777777" w:rsidR="003339E8" w:rsidRDefault="00714DEE"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ascii="宋体" w:hAnsi="宋体" w:cs="黑体" w:hint="eastAsia"/>
          <w:snapToGrid w:val="0"/>
          <w:sz w:val="24"/>
        </w:rPr>
        <w:t>公告附件</w:t>
      </w:r>
      <w:r>
        <w:rPr>
          <w:rFonts w:ascii="宋体" w:hAnsi="宋体" w:cs="黑体"/>
          <w:snapToGrid w:val="0"/>
          <w:sz w:val="24"/>
        </w:rPr>
        <w:t>2</w:t>
      </w:r>
      <w:r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709"/>
        <w:gridCol w:w="351"/>
        <w:gridCol w:w="1076"/>
        <w:gridCol w:w="1124"/>
        <w:gridCol w:w="2251"/>
        <w:gridCol w:w="3277"/>
        <w:gridCol w:w="9"/>
      </w:tblGrid>
      <w:tr w:rsidR="003339E8" w14:paraId="107D83E3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5A9B2FF2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bookmarkStart w:id="0" w:name="_Hlk50096648"/>
            <w:bookmarkStart w:id="1" w:name="_Hlk98601959"/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0E8B4908" w14:textId="01B20DDF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-JK15-W1145</w:t>
            </w:r>
          </w:p>
        </w:tc>
      </w:tr>
      <w:tr w:rsidR="003339E8" w14:paraId="74C556D1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3A3955FC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 w14:paraId="44A47911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血液透析过滤机</w:t>
            </w:r>
          </w:p>
        </w:tc>
      </w:tr>
      <w:tr w:rsidR="003339E8" w14:paraId="08EFF016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51A0815E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158FCD4A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537" w:type="dxa"/>
            <w:gridSpan w:val="3"/>
            <w:vAlign w:val="center"/>
          </w:tcPr>
          <w:p w14:paraId="48C35711" w14:textId="2B8CBDBE" w:rsidR="003339E8" w:rsidRDefault="005D38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714DEE">
              <w:rPr>
                <w:rFonts w:ascii="宋体" w:hAnsi="宋体" w:hint="eastAsia"/>
                <w:szCs w:val="21"/>
              </w:rPr>
              <w:t xml:space="preserve">国产   </w:t>
            </w:r>
            <w:r>
              <w:rPr>
                <w:rFonts w:ascii="宋体" w:hAnsi="宋体" w:hint="eastAsia"/>
                <w:szCs w:val="21"/>
              </w:rPr>
              <w:sym w:font="Wingdings" w:char="00FE"/>
            </w:r>
            <w:r w:rsidR="00714DEE">
              <w:rPr>
                <w:rFonts w:ascii="宋体" w:hAnsi="宋体" w:hint="eastAsia"/>
                <w:szCs w:val="21"/>
              </w:rPr>
              <w:t>进口</w:t>
            </w:r>
          </w:p>
        </w:tc>
      </w:tr>
      <w:tr w:rsidR="003339E8" w14:paraId="209592EE" w14:textId="7777777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77DA2559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06D7D1BA" w14:textId="77777777" w:rsidR="003339E8" w:rsidRDefault="00714D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268万元</w:t>
            </w:r>
          </w:p>
        </w:tc>
      </w:tr>
      <w:tr w:rsidR="003339E8" w14:paraId="1D032EBF" w14:textId="77777777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25327D71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功能要求</w:t>
            </w:r>
          </w:p>
        </w:tc>
      </w:tr>
      <w:tr w:rsidR="003339E8" w14:paraId="0EBAAD7C" w14:textId="77777777">
        <w:trPr>
          <w:jc w:val="center"/>
        </w:trPr>
        <w:tc>
          <w:tcPr>
            <w:tcW w:w="9857" w:type="dxa"/>
            <w:gridSpan w:val="8"/>
            <w:vAlign w:val="center"/>
          </w:tcPr>
          <w:p w14:paraId="1E250EEF" w14:textId="77777777" w:rsidR="003339E8" w:rsidRDefault="00714DEE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设备支持血液透析、单纯超滤、序贯透析、On-line HDF和On-line HF的治疗模式。</w:t>
            </w:r>
          </w:p>
        </w:tc>
      </w:tr>
      <w:tr w:rsidR="003339E8" w14:paraId="111F7058" w14:textId="77777777">
        <w:trPr>
          <w:trHeight w:val="484"/>
          <w:jc w:val="center"/>
        </w:trPr>
        <w:tc>
          <w:tcPr>
            <w:tcW w:w="9857" w:type="dxa"/>
            <w:gridSpan w:val="8"/>
            <w:vAlign w:val="center"/>
          </w:tcPr>
          <w:p w14:paraId="2A9E2C8A" w14:textId="77777777" w:rsidR="003339E8" w:rsidRDefault="00714DE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软硬件配置清单</w:t>
            </w:r>
          </w:p>
        </w:tc>
      </w:tr>
      <w:tr w:rsidR="003339E8" w14:paraId="542EB12D" w14:textId="777777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E259B02" w14:textId="77777777" w:rsidR="003339E8" w:rsidRDefault="00714DE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03B8A107" w14:textId="77777777" w:rsidR="003339E8" w:rsidRDefault="00714DE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5D064269" w14:textId="77777777" w:rsidR="003339E8" w:rsidRDefault="00714DE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3339E8" w14:paraId="2C1AEFF9" w14:textId="777777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E4FEEEE" w14:textId="77777777" w:rsidR="003339E8" w:rsidRDefault="00714DE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B8DE34B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血液透析滤过机</w:t>
            </w:r>
          </w:p>
        </w:tc>
        <w:tc>
          <w:tcPr>
            <w:tcW w:w="3286" w:type="dxa"/>
            <w:gridSpan w:val="2"/>
            <w:vAlign w:val="center"/>
          </w:tcPr>
          <w:p w14:paraId="0D55B55A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10台</w:t>
            </w:r>
          </w:p>
        </w:tc>
      </w:tr>
      <w:tr w:rsidR="003339E8" w14:paraId="6ACE71B7" w14:textId="777777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074F8BA" w14:textId="77777777" w:rsidR="003339E8" w:rsidRDefault="00714DE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4276C62C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透析液过滤器 </w:t>
            </w:r>
          </w:p>
        </w:tc>
        <w:tc>
          <w:tcPr>
            <w:tcW w:w="3286" w:type="dxa"/>
            <w:gridSpan w:val="2"/>
            <w:vAlign w:val="center"/>
          </w:tcPr>
          <w:p w14:paraId="619D4E37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20根</w:t>
            </w:r>
          </w:p>
        </w:tc>
      </w:tr>
      <w:tr w:rsidR="003339E8" w14:paraId="6984081C" w14:textId="777777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CED5C3D" w14:textId="77777777" w:rsidR="003339E8" w:rsidRDefault="00714DE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8F8533A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血压监测组件</w:t>
            </w:r>
          </w:p>
        </w:tc>
        <w:tc>
          <w:tcPr>
            <w:tcW w:w="3286" w:type="dxa"/>
            <w:gridSpan w:val="2"/>
            <w:vAlign w:val="center"/>
          </w:tcPr>
          <w:p w14:paraId="399D7AFD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10个</w:t>
            </w:r>
          </w:p>
        </w:tc>
      </w:tr>
      <w:tr w:rsidR="003339E8" w14:paraId="4B91334A" w14:textId="777777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9380FF6" w14:textId="77777777" w:rsidR="003339E8" w:rsidRDefault="00714DE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46C91886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在线清除率监测</w:t>
            </w:r>
          </w:p>
        </w:tc>
        <w:tc>
          <w:tcPr>
            <w:tcW w:w="3286" w:type="dxa"/>
            <w:gridSpan w:val="2"/>
            <w:vAlign w:val="center"/>
          </w:tcPr>
          <w:p w14:paraId="2BBEA373" w14:textId="77777777" w:rsidR="003339E8" w:rsidRDefault="00714DE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10套</w:t>
            </w:r>
          </w:p>
        </w:tc>
      </w:tr>
      <w:tr w:rsidR="003339E8" w14:paraId="17648BE3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C6986C9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技术参数要求</w:t>
            </w:r>
          </w:p>
        </w:tc>
      </w:tr>
      <w:tr w:rsidR="003339E8" w14:paraId="4FF42F78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7574628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36" w:type="dxa"/>
            <w:gridSpan w:val="3"/>
            <w:vAlign w:val="center"/>
          </w:tcPr>
          <w:p w14:paraId="3A2B12F8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指标名称</w:t>
            </w:r>
          </w:p>
        </w:tc>
        <w:tc>
          <w:tcPr>
            <w:tcW w:w="6652" w:type="dxa"/>
            <w:gridSpan w:val="3"/>
            <w:vAlign w:val="center"/>
          </w:tcPr>
          <w:p w14:paraId="218394E7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技术参数</w:t>
            </w:r>
          </w:p>
        </w:tc>
      </w:tr>
      <w:tr w:rsidR="003339E8" w14:paraId="74FA2D90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5CDE85B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36" w:type="dxa"/>
            <w:gridSpan w:val="3"/>
            <w:vAlign w:val="center"/>
          </w:tcPr>
          <w:p w14:paraId="2757DC21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人机交互</w:t>
            </w:r>
          </w:p>
        </w:tc>
        <w:tc>
          <w:tcPr>
            <w:tcW w:w="6652" w:type="dxa"/>
            <w:gridSpan w:val="3"/>
            <w:vAlign w:val="center"/>
          </w:tcPr>
          <w:p w14:paraId="70A49522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≧12英寸彩色液晶触摸显示器，全中文操作</w:t>
            </w:r>
          </w:p>
        </w:tc>
      </w:tr>
      <w:tr w:rsidR="003339E8" w14:paraId="63918CA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CB2E306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36" w:type="dxa"/>
            <w:gridSpan w:val="3"/>
            <w:vAlign w:val="center"/>
          </w:tcPr>
          <w:p w14:paraId="35BC44CE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空气探测</w:t>
            </w:r>
          </w:p>
        </w:tc>
        <w:tc>
          <w:tcPr>
            <w:tcW w:w="6652" w:type="dxa"/>
            <w:gridSpan w:val="3"/>
            <w:vAlign w:val="center"/>
          </w:tcPr>
          <w:p w14:paraId="12A874B2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超声探测</w:t>
            </w:r>
          </w:p>
        </w:tc>
      </w:tr>
      <w:tr w:rsidR="003339E8" w14:paraId="606B9427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1CEDC01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36" w:type="dxa"/>
            <w:gridSpan w:val="3"/>
            <w:vAlign w:val="center"/>
          </w:tcPr>
          <w:p w14:paraId="57DB08AD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透析液流量</w:t>
            </w:r>
          </w:p>
        </w:tc>
        <w:tc>
          <w:tcPr>
            <w:tcW w:w="6652" w:type="dxa"/>
            <w:gridSpan w:val="3"/>
            <w:vAlign w:val="center"/>
          </w:tcPr>
          <w:p w14:paraId="08E8A76C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（300～800）ml/min</w:t>
            </w:r>
          </w:p>
        </w:tc>
      </w:tr>
      <w:tr w:rsidR="003339E8" w14:paraId="79EF940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A1F85AB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36" w:type="dxa"/>
            <w:gridSpan w:val="3"/>
            <w:vAlign w:val="center"/>
          </w:tcPr>
          <w:p w14:paraId="4657C15F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★B液干粉筒组件</w:t>
            </w:r>
          </w:p>
        </w:tc>
        <w:tc>
          <w:tcPr>
            <w:tcW w:w="6652" w:type="dxa"/>
            <w:gridSpan w:val="3"/>
            <w:vAlign w:val="center"/>
          </w:tcPr>
          <w:p w14:paraId="2FA22198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标准配备碳酸氢盐干粉自动配制系统</w:t>
            </w:r>
          </w:p>
        </w:tc>
      </w:tr>
      <w:tr w:rsidR="003339E8" w14:paraId="4EBE867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70E4873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36" w:type="dxa"/>
            <w:gridSpan w:val="3"/>
            <w:vAlign w:val="center"/>
          </w:tcPr>
          <w:p w14:paraId="79FE4C4D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★超滤系统</w:t>
            </w:r>
          </w:p>
        </w:tc>
        <w:tc>
          <w:tcPr>
            <w:tcW w:w="6652" w:type="dxa"/>
            <w:gridSpan w:val="3"/>
            <w:vAlign w:val="center"/>
          </w:tcPr>
          <w:p w14:paraId="2BC20ECD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具备容量式超滤控制系统</w:t>
            </w:r>
          </w:p>
        </w:tc>
      </w:tr>
      <w:tr w:rsidR="003339E8" w14:paraId="1DBA8519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E389130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36" w:type="dxa"/>
            <w:gridSpan w:val="3"/>
            <w:vAlign w:val="center"/>
          </w:tcPr>
          <w:p w14:paraId="5B26CD1B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动脉压监测</w:t>
            </w:r>
          </w:p>
        </w:tc>
        <w:tc>
          <w:tcPr>
            <w:tcW w:w="6652" w:type="dxa"/>
            <w:gridSpan w:val="3"/>
            <w:vAlign w:val="center"/>
          </w:tcPr>
          <w:p w14:paraId="7A976995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显示范围:（-300～＋300）mmHg；测量精确度：±10mmHg</w:t>
            </w:r>
          </w:p>
        </w:tc>
      </w:tr>
      <w:tr w:rsidR="003339E8" w14:paraId="4A26A50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790CF40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36" w:type="dxa"/>
            <w:gridSpan w:val="3"/>
            <w:vAlign w:val="center"/>
          </w:tcPr>
          <w:p w14:paraId="296B8273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置换液泵</w:t>
            </w:r>
          </w:p>
        </w:tc>
        <w:tc>
          <w:tcPr>
            <w:tcW w:w="6652" w:type="dxa"/>
            <w:gridSpan w:val="3"/>
            <w:vAlign w:val="center"/>
          </w:tcPr>
          <w:p w14:paraId="1C783219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置换液流速:（25～400）ml/min</w:t>
            </w:r>
          </w:p>
        </w:tc>
      </w:tr>
      <w:tr w:rsidR="003339E8" w14:paraId="6136B92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795BD02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36" w:type="dxa"/>
            <w:gridSpan w:val="3"/>
            <w:vAlign w:val="center"/>
          </w:tcPr>
          <w:p w14:paraId="5680C9CC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血泵流速</w:t>
            </w:r>
          </w:p>
        </w:tc>
        <w:tc>
          <w:tcPr>
            <w:tcW w:w="6652" w:type="dxa"/>
            <w:gridSpan w:val="3"/>
            <w:vAlign w:val="center"/>
          </w:tcPr>
          <w:p w14:paraId="25CA694F" w14:textId="77777777" w:rsidR="003339E8" w:rsidRDefault="00714DEE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（50～600）ml/min</w:t>
            </w:r>
          </w:p>
        </w:tc>
      </w:tr>
      <w:tr w:rsidR="003339E8" w14:paraId="2424518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B6971D3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36" w:type="dxa"/>
            <w:gridSpan w:val="3"/>
            <w:vAlign w:val="center"/>
          </w:tcPr>
          <w:p w14:paraId="674053A9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★血压</w:t>
            </w:r>
          </w:p>
        </w:tc>
        <w:tc>
          <w:tcPr>
            <w:tcW w:w="6652" w:type="dxa"/>
            <w:gridSpan w:val="3"/>
            <w:vAlign w:val="center"/>
          </w:tcPr>
          <w:p w14:paraId="29D67A73" w14:textId="77777777" w:rsidR="003339E8" w:rsidRDefault="00714DEE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标配血压监测组件</w:t>
            </w:r>
          </w:p>
        </w:tc>
      </w:tr>
      <w:tr w:rsidR="003339E8" w14:paraId="37254AD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057F039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36" w:type="dxa"/>
            <w:gridSpan w:val="3"/>
            <w:vAlign w:val="center"/>
          </w:tcPr>
          <w:p w14:paraId="68A7882E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★透析充分性</w:t>
            </w:r>
          </w:p>
        </w:tc>
        <w:tc>
          <w:tcPr>
            <w:tcW w:w="6652" w:type="dxa"/>
            <w:gridSpan w:val="3"/>
            <w:vAlign w:val="center"/>
          </w:tcPr>
          <w:p w14:paraId="7E2045DE" w14:textId="77777777" w:rsidR="003339E8" w:rsidRDefault="00714DEE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实时在线清除率(KT/V)监测组件（非计算功能</w:t>
            </w:r>
            <w:proofErr w:type="spellStart"/>
            <w:r>
              <w:rPr>
                <w:rFonts w:ascii="宋体" w:hAnsi="宋体" w:hint="eastAsia"/>
                <w:szCs w:val="21"/>
              </w:rPr>
              <w:t>Adimea</w:t>
            </w:r>
            <w:proofErr w:type="spellEnd"/>
            <w:r>
              <w:rPr>
                <w:rFonts w:ascii="宋体" w:hAnsi="宋体" w:hint="eastAsia"/>
                <w:szCs w:val="21"/>
              </w:rPr>
              <w:t>/OCM/DDM）</w:t>
            </w:r>
          </w:p>
        </w:tc>
      </w:tr>
      <w:tr w:rsidR="003339E8" w14:paraId="753E706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CB4D0E1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36" w:type="dxa"/>
            <w:gridSpan w:val="3"/>
            <w:vAlign w:val="center"/>
          </w:tcPr>
          <w:p w14:paraId="2FBE191D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透析液过滤</w:t>
            </w:r>
          </w:p>
        </w:tc>
        <w:tc>
          <w:tcPr>
            <w:tcW w:w="6652" w:type="dxa"/>
            <w:gridSpan w:val="3"/>
            <w:vAlign w:val="center"/>
          </w:tcPr>
          <w:p w14:paraId="2AD62B0E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标准配备双透析液过滤组件，在线生产置换液</w:t>
            </w:r>
          </w:p>
        </w:tc>
      </w:tr>
      <w:tr w:rsidR="003339E8" w14:paraId="4CB1080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76C1C93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136" w:type="dxa"/>
            <w:gridSpan w:val="3"/>
            <w:vAlign w:val="center"/>
          </w:tcPr>
          <w:p w14:paraId="099133E8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＃补液比率</w:t>
            </w:r>
          </w:p>
        </w:tc>
        <w:tc>
          <w:tcPr>
            <w:tcW w:w="6652" w:type="dxa"/>
            <w:gridSpan w:val="3"/>
            <w:vAlign w:val="center"/>
          </w:tcPr>
          <w:p w14:paraId="2281128A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置换液量按比例自动进行调整，防止血液过度浓缩，选择最佳置换量</w:t>
            </w:r>
          </w:p>
        </w:tc>
      </w:tr>
      <w:tr w:rsidR="003339E8" w14:paraId="1D2F45E9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E8D0054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136" w:type="dxa"/>
            <w:gridSpan w:val="3"/>
            <w:vAlign w:val="center"/>
          </w:tcPr>
          <w:p w14:paraId="42527AEB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＃自动化透析</w:t>
            </w:r>
          </w:p>
        </w:tc>
        <w:tc>
          <w:tcPr>
            <w:tcW w:w="6652" w:type="dxa"/>
            <w:gridSpan w:val="3"/>
            <w:vAlign w:val="center"/>
          </w:tcPr>
          <w:p w14:paraId="7142727E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</w:t>
            </w:r>
          </w:p>
        </w:tc>
      </w:tr>
      <w:tr w:rsidR="003339E8" w14:paraId="5577675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999B21E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136" w:type="dxa"/>
            <w:gridSpan w:val="3"/>
            <w:vAlign w:val="center"/>
          </w:tcPr>
          <w:p w14:paraId="585304C2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检测功能</w:t>
            </w:r>
          </w:p>
        </w:tc>
        <w:tc>
          <w:tcPr>
            <w:tcW w:w="6652" w:type="dxa"/>
            <w:gridSpan w:val="3"/>
            <w:vAlign w:val="center"/>
          </w:tcPr>
          <w:p w14:paraId="03EA7AD8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具备气泡检测、血液判别等功能</w:t>
            </w:r>
          </w:p>
        </w:tc>
      </w:tr>
      <w:tr w:rsidR="003339E8" w14:paraId="418920E0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0C366C4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136" w:type="dxa"/>
            <w:gridSpan w:val="3"/>
            <w:vAlign w:val="center"/>
          </w:tcPr>
          <w:p w14:paraId="434A4CF6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＃预冲液联机排放</w:t>
            </w:r>
          </w:p>
        </w:tc>
        <w:tc>
          <w:tcPr>
            <w:tcW w:w="6652" w:type="dxa"/>
            <w:gridSpan w:val="3"/>
            <w:vAlign w:val="center"/>
          </w:tcPr>
          <w:p w14:paraId="14775874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预冲液排放过程中无需废液袋</w:t>
            </w:r>
          </w:p>
        </w:tc>
      </w:tr>
      <w:tr w:rsidR="003339E8" w14:paraId="3FEB3499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BEF6D5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16</w:t>
            </w:r>
          </w:p>
        </w:tc>
        <w:tc>
          <w:tcPr>
            <w:tcW w:w="2136" w:type="dxa"/>
            <w:gridSpan w:val="3"/>
            <w:vAlign w:val="center"/>
          </w:tcPr>
          <w:p w14:paraId="6D1031D4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自备电池</w:t>
            </w:r>
          </w:p>
        </w:tc>
        <w:tc>
          <w:tcPr>
            <w:tcW w:w="6652" w:type="dxa"/>
            <w:gridSpan w:val="3"/>
            <w:vAlign w:val="center"/>
          </w:tcPr>
          <w:p w14:paraId="215473CD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标配内置电池，保证机器停电后最少使用≥15分钟，并且不丢失数据；同时压力检测，漏血和气泡检测正常工作</w:t>
            </w:r>
          </w:p>
        </w:tc>
      </w:tr>
      <w:tr w:rsidR="003339E8" w14:paraId="228B2E34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D4DA31B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136" w:type="dxa"/>
            <w:gridSpan w:val="3"/>
            <w:vAlign w:val="center"/>
          </w:tcPr>
          <w:p w14:paraId="66770E42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漏血检测</w:t>
            </w:r>
          </w:p>
        </w:tc>
        <w:tc>
          <w:tcPr>
            <w:tcW w:w="6652" w:type="dxa"/>
            <w:gridSpan w:val="3"/>
            <w:vAlign w:val="center"/>
          </w:tcPr>
          <w:p w14:paraId="006AF6D0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超声或光学监测</w:t>
            </w:r>
          </w:p>
        </w:tc>
      </w:tr>
      <w:tr w:rsidR="003339E8" w14:paraId="6EA384F3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07853E9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136" w:type="dxa"/>
            <w:gridSpan w:val="3"/>
            <w:vAlign w:val="center"/>
          </w:tcPr>
          <w:p w14:paraId="333800E0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个性化透析</w:t>
            </w:r>
          </w:p>
        </w:tc>
        <w:tc>
          <w:tcPr>
            <w:tcW w:w="6652" w:type="dxa"/>
            <w:gridSpan w:val="3"/>
            <w:vAlign w:val="center"/>
          </w:tcPr>
          <w:p w14:paraId="068670D6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</w:t>
            </w:r>
          </w:p>
        </w:tc>
      </w:tr>
      <w:tr w:rsidR="003339E8" w14:paraId="2AE134E8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2305BDC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136" w:type="dxa"/>
            <w:gridSpan w:val="3"/>
            <w:vAlign w:val="center"/>
          </w:tcPr>
          <w:p w14:paraId="6440CAE1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★消毒模式</w:t>
            </w:r>
          </w:p>
        </w:tc>
        <w:tc>
          <w:tcPr>
            <w:tcW w:w="6652" w:type="dxa"/>
            <w:gridSpan w:val="3"/>
            <w:vAlign w:val="center"/>
          </w:tcPr>
          <w:p w14:paraId="24B41047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具备药液消毒和热消毒方式，消毒过程中A、B液吸管联机同时消毒</w:t>
            </w:r>
          </w:p>
        </w:tc>
      </w:tr>
      <w:tr w:rsidR="003339E8" w14:paraId="726B3E2F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CB77C34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136" w:type="dxa"/>
            <w:gridSpan w:val="3"/>
            <w:vAlign w:val="center"/>
          </w:tcPr>
          <w:p w14:paraId="46249B26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★品牌市场占有率</w:t>
            </w:r>
          </w:p>
        </w:tc>
        <w:tc>
          <w:tcPr>
            <w:tcW w:w="6652" w:type="dxa"/>
            <w:gridSpan w:val="3"/>
            <w:vAlign w:val="center"/>
          </w:tcPr>
          <w:p w14:paraId="0560ECDB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品牌陕西省装机台数≧500台，附用户名单及相关证明材料</w:t>
            </w:r>
          </w:p>
        </w:tc>
      </w:tr>
      <w:tr w:rsidR="003339E8" w14:paraId="32CF0E0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73D8CDC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136" w:type="dxa"/>
            <w:gridSpan w:val="3"/>
            <w:vAlign w:val="center"/>
          </w:tcPr>
          <w:p w14:paraId="2F518A19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★信息化系统</w:t>
            </w:r>
          </w:p>
        </w:tc>
        <w:tc>
          <w:tcPr>
            <w:tcW w:w="6652" w:type="dxa"/>
            <w:gridSpan w:val="3"/>
            <w:vAlign w:val="center"/>
          </w:tcPr>
          <w:p w14:paraId="662BA112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开放端口，并免费连接信息化系统，不产生任何费用</w:t>
            </w:r>
          </w:p>
        </w:tc>
      </w:tr>
      <w:tr w:rsidR="003339E8" w14:paraId="501CC2A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C59D7E4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136" w:type="dxa"/>
            <w:gridSpan w:val="3"/>
            <w:vAlign w:val="center"/>
          </w:tcPr>
          <w:p w14:paraId="2DBC2C42" w14:textId="77777777" w:rsidR="003339E8" w:rsidRDefault="00714D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★软硬件配置清单</w:t>
            </w:r>
          </w:p>
        </w:tc>
        <w:tc>
          <w:tcPr>
            <w:tcW w:w="6652" w:type="dxa"/>
            <w:gridSpan w:val="3"/>
            <w:vAlign w:val="center"/>
          </w:tcPr>
          <w:p w14:paraId="26FA9F11" w14:textId="77777777" w:rsidR="003339E8" w:rsidRDefault="00714DEE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血液透析滤过机     10台</w:t>
            </w:r>
          </w:p>
          <w:p w14:paraId="77B526C4" w14:textId="77777777" w:rsidR="003339E8" w:rsidRDefault="00714DEE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透析液过滤器       20根</w:t>
            </w:r>
          </w:p>
          <w:p w14:paraId="7B9D1400" w14:textId="77777777" w:rsidR="003339E8" w:rsidRDefault="00714DEE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血压监测组件       10个</w:t>
            </w:r>
          </w:p>
          <w:p w14:paraId="54154C4B" w14:textId="77777777" w:rsidR="003339E8" w:rsidRDefault="00714DE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4、在线清除率监测     10套</w:t>
            </w:r>
          </w:p>
        </w:tc>
      </w:tr>
      <w:tr w:rsidR="003339E8" w14:paraId="11347069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7A6509C3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售后服务要求（每一项都是“★”）</w:t>
            </w:r>
          </w:p>
        </w:tc>
      </w:tr>
      <w:tr w:rsidR="003339E8" w14:paraId="66B8D5CC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3C91548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36" w:type="dxa"/>
            <w:gridSpan w:val="3"/>
            <w:vAlign w:val="center"/>
          </w:tcPr>
          <w:p w14:paraId="74423A47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质保期</w:t>
            </w:r>
          </w:p>
        </w:tc>
        <w:tc>
          <w:tcPr>
            <w:tcW w:w="6652" w:type="dxa"/>
            <w:gridSpan w:val="3"/>
            <w:vAlign w:val="center"/>
          </w:tcPr>
          <w:p w14:paraId="2BC2AECE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整机质保≧3年</w:t>
            </w:r>
          </w:p>
        </w:tc>
      </w:tr>
      <w:tr w:rsidR="003339E8" w14:paraId="30DF766E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BEEDF74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36" w:type="dxa"/>
            <w:gridSpan w:val="3"/>
            <w:vAlign w:val="center"/>
          </w:tcPr>
          <w:p w14:paraId="75FF5801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备件库</w:t>
            </w:r>
          </w:p>
        </w:tc>
        <w:tc>
          <w:tcPr>
            <w:tcW w:w="6652" w:type="dxa"/>
            <w:gridSpan w:val="3"/>
            <w:vAlign w:val="center"/>
          </w:tcPr>
          <w:p w14:paraId="5FE009A9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西安有备件库</w:t>
            </w:r>
          </w:p>
        </w:tc>
      </w:tr>
      <w:tr w:rsidR="003339E8" w14:paraId="6665D258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7CF323B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36" w:type="dxa"/>
            <w:gridSpan w:val="3"/>
            <w:vAlign w:val="center"/>
          </w:tcPr>
          <w:p w14:paraId="32C6B3DD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维修点</w:t>
            </w:r>
          </w:p>
        </w:tc>
        <w:tc>
          <w:tcPr>
            <w:tcW w:w="6652" w:type="dxa"/>
            <w:gridSpan w:val="3"/>
            <w:vAlign w:val="center"/>
          </w:tcPr>
          <w:p w14:paraId="0BEEE221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西安有维修点</w:t>
            </w:r>
          </w:p>
        </w:tc>
      </w:tr>
      <w:tr w:rsidR="003339E8" w14:paraId="022560B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B43694F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36" w:type="dxa"/>
            <w:gridSpan w:val="3"/>
            <w:vAlign w:val="center"/>
          </w:tcPr>
          <w:p w14:paraId="142BF8C2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收费标准</w:t>
            </w:r>
          </w:p>
        </w:tc>
        <w:tc>
          <w:tcPr>
            <w:tcW w:w="6652" w:type="dxa"/>
            <w:gridSpan w:val="3"/>
            <w:vAlign w:val="center"/>
          </w:tcPr>
          <w:p w14:paraId="75F2E418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专用透析液过滤报价、专用维修配件报价折扣优惠政策</w:t>
            </w:r>
          </w:p>
        </w:tc>
      </w:tr>
      <w:tr w:rsidR="003339E8" w14:paraId="6E416663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EFBE07C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36" w:type="dxa"/>
            <w:gridSpan w:val="3"/>
            <w:vAlign w:val="center"/>
          </w:tcPr>
          <w:p w14:paraId="4FDFE1FF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培训支持</w:t>
            </w:r>
          </w:p>
        </w:tc>
        <w:tc>
          <w:tcPr>
            <w:tcW w:w="6652" w:type="dxa"/>
            <w:gridSpan w:val="3"/>
            <w:vAlign w:val="center"/>
          </w:tcPr>
          <w:p w14:paraId="5AEDC23C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现场操作培训</w:t>
            </w:r>
          </w:p>
        </w:tc>
      </w:tr>
      <w:tr w:rsidR="003339E8" w14:paraId="53AFFCE0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01E810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36" w:type="dxa"/>
            <w:gridSpan w:val="3"/>
            <w:vAlign w:val="center"/>
          </w:tcPr>
          <w:p w14:paraId="0A3090A6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维修响应</w:t>
            </w:r>
          </w:p>
        </w:tc>
        <w:tc>
          <w:tcPr>
            <w:tcW w:w="6652" w:type="dxa"/>
            <w:gridSpan w:val="3"/>
            <w:vAlign w:val="center"/>
          </w:tcPr>
          <w:p w14:paraId="0429D3D3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维修响应≤2小时，到场时间≤24小时。</w:t>
            </w:r>
          </w:p>
        </w:tc>
      </w:tr>
      <w:tr w:rsidR="003339E8" w14:paraId="58450A1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184F232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36" w:type="dxa"/>
            <w:gridSpan w:val="3"/>
            <w:vAlign w:val="center"/>
          </w:tcPr>
          <w:p w14:paraId="044C3352" w14:textId="77777777" w:rsidR="003339E8" w:rsidRDefault="00714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到货时间</w:t>
            </w:r>
          </w:p>
        </w:tc>
        <w:tc>
          <w:tcPr>
            <w:tcW w:w="6652" w:type="dxa"/>
            <w:gridSpan w:val="3"/>
            <w:vAlign w:val="center"/>
          </w:tcPr>
          <w:p w14:paraId="7A598B61" w14:textId="77777777" w:rsidR="003339E8" w:rsidRDefault="00714D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合同签订后10天</w:t>
            </w:r>
          </w:p>
        </w:tc>
      </w:tr>
      <w:bookmarkEnd w:id="0"/>
      <w:bookmarkEnd w:id="1"/>
    </w:tbl>
    <w:p w14:paraId="6BA0E5F3" w14:textId="77777777" w:rsidR="003339E8" w:rsidRDefault="003339E8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333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6772" w14:textId="77777777" w:rsidR="00256589" w:rsidRDefault="00256589" w:rsidP="005D3872">
      <w:r>
        <w:separator/>
      </w:r>
    </w:p>
  </w:endnote>
  <w:endnote w:type="continuationSeparator" w:id="0">
    <w:p w14:paraId="49ED8DE7" w14:textId="77777777" w:rsidR="00256589" w:rsidRDefault="00256589" w:rsidP="005D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3140" w14:textId="77777777" w:rsidR="00256589" w:rsidRDefault="00256589" w:rsidP="005D3872">
      <w:r>
        <w:separator/>
      </w:r>
    </w:p>
  </w:footnote>
  <w:footnote w:type="continuationSeparator" w:id="0">
    <w:p w14:paraId="665AE940" w14:textId="77777777" w:rsidR="00256589" w:rsidRDefault="00256589" w:rsidP="005D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B773"/>
    <w:multiLevelType w:val="singleLevel"/>
    <w:tmpl w:val="320EB77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4088319">
    <w:abstractNumId w:val="1"/>
  </w:num>
  <w:num w:numId="2" w16cid:durableId="206641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5658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339E8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5D3872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325F"/>
    <w:rsid w:val="006C75FB"/>
    <w:rsid w:val="006D71A6"/>
    <w:rsid w:val="006F5127"/>
    <w:rsid w:val="00714DEE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  <w:rsid w:val="347A7440"/>
    <w:rsid w:val="364C2B74"/>
    <w:rsid w:val="64E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6FC28"/>
  <w15:docId w15:val="{4E39F0E9-5194-4977-9E6A-5BDEA10C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qFormat/>
    <w:pPr>
      <w:ind w:firstLineChars="200" w:firstLine="420"/>
    </w:pPr>
  </w:style>
  <w:style w:type="paragraph" w:styleId="a4">
    <w:name w:val="Document Map"/>
    <w:basedOn w:val="a"/>
    <w:link w:val="a5"/>
    <w:rPr>
      <w:rFonts w:ascii="宋体"/>
      <w:sz w:val="18"/>
      <w:szCs w:val="18"/>
    </w:rPr>
  </w:style>
  <w:style w:type="paragraph" w:styleId="a6">
    <w:name w:val="annotation text"/>
    <w:basedOn w:val="a"/>
    <w:link w:val="a7"/>
    <w:pPr>
      <w:jc w:val="left"/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  <w:rPr>
      <w:rFonts w:cs="Times New Roman"/>
    </w:rPr>
  </w:style>
  <w:style w:type="paragraph" w:styleId="aa">
    <w:name w:val="Plain Text"/>
    <w:basedOn w:val="a"/>
    <w:link w:val="1"/>
    <w:unhideWhenUsed/>
    <w:rPr>
      <w:rFonts w:ascii="宋体" w:eastAsiaTheme="minorEastAsia" w:hAnsi="Courier New" w:cstheme="minorBidi"/>
      <w:szCs w:val="20"/>
    </w:rPr>
  </w:style>
  <w:style w:type="paragraph" w:styleId="ab">
    <w:name w:val="Balloon Text"/>
    <w:basedOn w:val="a"/>
    <w:link w:val="ac"/>
    <w:qFormat/>
    <w:rPr>
      <w:sz w:val="18"/>
      <w:szCs w:val="18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f2">
    <w:name w:val="annotation subject"/>
    <w:basedOn w:val="a6"/>
    <w:next w:val="a6"/>
    <w:link w:val="af3"/>
    <w:rPr>
      <w:b/>
      <w:bCs/>
    </w:rPr>
  </w:style>
  <w:style w:type="character" w:styleId="af4">
    <w:name w:val="annotation reference"/>
    <w:basedOn w:val="a1"/>
    <w:rPr>
      <w:sz w:val="21"/>
      <w:szCs w:val="21"/>
    </w:rPr>
  </w:style>
  <w:style w:type="character" w:customStyle="1" w:styleId="af0">
    <w:name w:val="页眉 字符"/>
    <w:basedOn w:val="a1"/>
    <w:link w:val="af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ae">
    <w:name w:val="页脚 字符"/>
    <w:basedOn w:val="a1"/>
    <w:link w:val="ad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a7">
    <w:name w:val="批注文字 字符"/>
    <w:basedOn w:val="a1"/>
    <w:link w:val="a6"/>
    <w:qFormat/>
    <w:rPr>
      <w:rFonts w:ascii="Times New Roman" w:eastAsia="宋体" w:hAnsi="Times New Roman" w:cs="宋体"/>
      <w:kern w:val="2"/>
      <w:sz w:val="21"/>
      <w:szCs w:val="24"/>
    </w:rPr>
  </w:style>
  <w:style w:type="character" w:customStyle="1" w:styleId="af3">
    <w:name w:val="批注主题 字符"/>
    <w:basedOn w:val="a7"/>
    <w:link w:val="af2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宋体"/>
      <w:kern w:val="2"/>
      <w:sz w:val="21"/>
      <w:szCs w:val="24"/>
    </w:rPr>
  </w:style>
  <w:style w:type="character" w:customStyle="1" w:styleId="ac">
    <w:name w:val="批注框文本 字符"/>
    <w:basedOn w:val="a1"/>
    <w:link w:val="ab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a"/>
    <w:rPr>
      <w:rFonts w:ascii="宋体" w:hAnsi="Courier New"/>
      <w:kern w:val="2"/>
      <w:sz w:val="21"/>
    </w:rPr>
  </w:style>
  <w:style w:type="character" w:customStyle="1" w:styleId="af5">
    <w:name w:val="纯文本 字符"/>
    <w:basedOn w:val="a1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  <w:style w:type="paragraph" w:styleId="af6">
    <w:name w:val="List Paragraph"/>
    <w:basedOn w:val="a"/>
    <w:uiPriority w:val="34"/>
    <w:qFormat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a5">
    <w:name w:val="文档结构图 字符"/>
    <w:basedOn w:val="a1"/>
    <w:link w:val="a4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Af7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Style26">
    <w:name w:val="_Style 26"/>
    <w:basedOn w:val="a"/>
    <w:next w:val="af6"/>
    <w:uiPriority w:val="34"/>
    <w:qFormat/>
    <w:pPr>
      <w:ind w:firstLineChars="200" w:firstLine="420"/>
    </w:pPr>
    <w:rPr>
      <w:rFonts w:cs="Times New Roman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qFormat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qFormat/>
    <w:rPr>
      <w:rFonts w:ascii="Calibri" w:eastAsia="宋体" w:hAnsi="Calibri" w:cs="Times New Roman"/>
      <w:b/>
      <w:bCs/>
      <w:kern w:val="2"/>
      <w:sz w:val="28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qFormat/>
    <w:rPr>
      <w:rFonts w:ascii="幼圆" w:eastAsia="幼圆" w:hAnsi="幼圆" w:cs="幼圆" w:hint="default"/>
      <w:color w:val="000000"/>
      <w:sz w:val="20"/>
      <w:szCs w:val="20"/>
      <w:u w:val="none"/>
    </w:rPr>
  </w:style>
  <w:style w:type="character" w:customStyle="1" w:styleId="font12">
    <w:name w:val="font12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a9">
    <w:name w:val="正文文本 字符"/>
    <w:basedOn w:val="a1"/>
    <w:link w:val="a8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白</cp:lastModifiedBy>
  <cp:revision>125</cp:revision>
  <dcterms:created xsi:type="dcterms:W3CDTF">2019-11-08T04:25:00Z</dcterms:created>
  <dcterms:modified xsi:type="dcterms:W3CDTF">2022-06-19T14:45:00Z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80AC45AD18164F9E808EE7EC8E73113C</vt:lpwstr>
  </property>
</Properties>
</file>