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ascii="宋体" w:hAnsi="宋体" w:cs="黑体"/>
          <w:snapToGrid w:val="0"/>
          <w:sz w:val="24"/>
        </w:rPr>
        <w:t>13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641"/>
        <w:gridCol w:w="1559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450</w:t>
            </w:r>
            <w:r>
              <w:rPr>
                <w:rFonts w:hint="eastAsia" w:ascii="宋体" w:hAnsi="宋体"/>
                <w:sz w:val="24"/>
              </w:rPr>
              <w:t>万个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 xml:space="preserve">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333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用于护唇膏的内包装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</w:t>
            </w:r>
            <w:bookmarkStart w:id="2" w:name="_GoBack"/>
            <w:bookmarkEnd w:id="2"/>
            <w:r>
              <w:rPr>
                <w:rFonts w:hint="eastAsia" w:ascii="宋体" w:hAnsi="宋体" w:cs="仿宋"/>
                <w:b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★产能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＞4万只/天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＃</w:t>
            </w:r>
            <w:r>
              <w:rPr>
                <w:rFonts w:hint="eastAsia" w:ascii="宋体" w:hAnsi="宋体"/>
                <w:sz w:val="24"/>
              </w:rPr>
              <w:t>生产环境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D</w:t>
            </w:r>
            <w:r>
              <w:rPr>
                <w:rFonts w:hint="eastAsia" w:ascii="宋体" w:hAnsi="宋体"/>
                <w:sz w:val="24"/>
              </w:rPr>
              <w:t>级以上(以第三方检测报告为准)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★尺寸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按样品和图纸，误差不超过±0.3mm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★装量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3.5g膏体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★拔力检测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上盖和中管:15-25N，底座和中管拔力大于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★微生物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符合药包材的微生物限度并提供报告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★材质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聚丙烯材料(pp材料)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＃</w:t>
            </w:r>
            <w:r>
              <w:rPr>
                <w:rFonts w:hint="eastAsia" w:ascii="宋体" w:hAnsi="宋体"/>
                <w:sz w:val="24"/>
              </w:rPr>
              <w:t>热转印膜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油墨符合食品用标准,附着力可通过</w:t>
            </w:r>
            <w:r>
              <w:rPr>
                <w:rFonts w:ascii="宋体" w:hAnsi="宋体"/>
                <w:sz w:val="24"/>
              </w:rPr>
              <w:t>3M胶带测试，只允许轻微掉粉且不超过面积15</w:t>
            </w:r>
            <w:r>
              <w:rPr>
                <w:rFonts w:hint="eastAsia"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＃</w:t>
            </w:r>
            <w:r>
              <w:rPr>
                <w:rFonts w:hint="eastAsia" w:ascii="宋体" w:hAnsi="宋体"/>
                <w:sz w:val="24"/>
              </w:rPr>
              <w:t>印刷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文字清晰、耐磨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＃</w:t>
            </w:r>
            <w:r>
              <w:rPr>
                <w:rFonts w:hint="eastAsia" w:ascii="宋体" w:hAnsi="宋体"/>
                <w:sz w:val="24"/>
              </w:rPr>
              <w:t>产品的清洁及微生物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管子内无杂质污染，微生物符合药用包材标准(提供第三方检测报告)。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＃</w:t>
            </w:r>
            <w:r>
              <w:rPr>
                <w:rFonts w:hint="eastAsia" w:ascii="宋体" w:hAnsi="宋体"/>
                <w:sz w:val="24"/>
              </w:rPr>
              <w:t>包装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成品的装箱要保证产品的运输过程的完整性，提供不少于千分之5的损耗量。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＃</w:t>
            </w:r>
            <w:r>
              <w:rPr>
                <w:rFonts w:hint="eastAsia" w:ascii="宋体" w:hAnsi="宋体"/>
                <w:sz w:val="24"/>
              </w:rPr>
              <w:t>使用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内杯和底座旋转使用顺畅，无明显阻滞感。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★匹配度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完全匹配现有生产线的使用。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  <w:szCs w:val="28"/>
              </w:rPr>
              <w:t>质保期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技术服务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提供产品的质量标准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问题响应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响应时间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hint="eastAsia" w:ascii="宋体" w:hAnsi="宋体"/>
                <w:sz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  <w:szCs w:val="28"/>
              </w:rPr>
              <w:t>到货时间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合同签订后第一个月到货80万只以上，其后每月不低于100万只，4个月之内全部供货完成。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＃</w:t>
            </w:r>
            <w:r>
              <w:rPr>
                <w:rFonts w:hint="eastAsia" w:ascii="宋体" w:hAnsi="宋体" w:cs="仿宋"/>
                <w:sz w:val="24"/>
                <w:szCs w:val="28"/>
              </w:rPr>
              <w:t>送货卸货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货物需运送至需求方指定地点，并摆放整齐。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4336A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B4F6E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82511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04C4F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B1348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0B60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AC326C8"/>
    <w:rsid w:val="135F59AD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0"/>
    <w:pPr>
      <w:ind w:firstLine="420" w:firstLineChars="200"/>
    </w:pPr>
  </w:style>
  <w:style w:type="paragraph" w:styleId="4">
    <w:name w:val="Document Map"/>
    <w:basedOn w:val="1"/>
    <w:link w:val="26"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516</Characters>
  <Lines>4</Lines>
  <Paragraphs>1</Paragraphs>
  <TotalTime>173</TotalTime>
  <ScaleCrop>false</ScaleCrop>
  <LinksUpToDate>false</LinksUpToDate>
  <CharactersWithSpaces>520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2022-06-20T16:44:35Z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012A061EFC464A69BA6D772D9AA30CE7</vt:lpwstr>
  </property>
</Properties>
</file>