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cs="黑体"/>
          <w:snapToGrid w:val="0"/>
          <w:sz w:val="24"/>
        </w:rPr>
      </w:pPr>
      <w:r>
        <w:rPr>
          <w:rFonts w:hint="eastAsia" w:ascii="宋体" w:hAnsi="宋体" w:cs="黑体"/>
          <w:snapToGrid w:val="0"/>
          <w:sz w:val="24"/>
        </w:rPr>
        <w:t>公告附件</w:t>
      </w:r>
      <w:r>
        <w:rPr>
          <w:rFonts w:hint="eastAsia" w:ascii="宋体" w:hAnsi="宋体" w:cs="黑体"/>
          <w:snapToGrid w:val="0"/>
          <w:sz w:val="24"/>
          <w:lang w:val="en-US" w:eastAsia="zh-CN"/>
        </w:rPr>
        <w:t>9</w:t>
      </w:r>
      <w:r>
        <w:rPr>
          <w:rFonts w:hint="eastAsia" w:ascii="宋体" w:hAnsi="宋体" w:cs="黑体"/>
          <w:snapToGrid w:val="0"/>
          <w:sz w:val="24"/>
        </w:rPr>
        <w:t>：</w:t>
      </w:r>
    </w:p>
    <w:tbl>
      <w:tblPr>
        <w:tblStyle w:val="1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047"/>
        <w:gridCol w:w="213"/>
        <w:gridCol w:w="2338"/>
        <w:gridCol w:w="2251"/>
        <w:gridCol w:w="327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bookmarkStart w:id="0" w:name="_Hlk98601959"/>
            <w:bookmarkStart w:id="1" w:name="_Hlk50096648"/>
            <w:r>
              <w:rPr>
                <w:rFonts w:hint="eastAsia" w:ascii="宋体" w:hAnsi="宋体" w:eastAsia="宋体" w:cs="宋体"/>
                <w:color w:val="auto"/>
                <w:sz w:val="24"/>
                <w:szCs w:val="24"/>
              </w:rPr>
              <w:t>项目编号</w:t>
            </w:r>
          </w:p>
        </w:tc>
        <w:tc>
          <w:tcPr>
            <w:tcW w:w="7875" w:type="dxa"/>
            <w:gridSpan w:val="4"/>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2022-JK15-W12</w:t>
            </w:r>
            <w:r>
              <w:rPr>
                <w:rFonts w:hint="eastAsia" w:ascii="宋体" w:hAnsi="宋体" w:eastAsia="宋体" w:cs="宋体"/>
                <w:color w:val="auto"/>
                <w:sz w:val="24"/>
                <w:szCs w:val="24"/>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875" w:type="dxa"/>
            <w:gridSpan w:val="4"/>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临床技能培训中心管理系统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338"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套</w:t>
            </w:r>
          </w:p>
        </w:tc>
        <w:tc>
          <w:tcPr>
            <w:tcW w:w="5537"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sym w:font="Wingdings" w:char="00FE"/>
            </w:r>
            <w:r>
              <w:rPr>
                <w:rFonts w:hint="eastAsia" w:ascii="宋体" w:hAnsi="宋体" w:eastAsia="宋体" w:cs="宋体"/>
                <w:color w:val="auto"/>
                <w:sz w:val="24"/>
                <w:szCs w:val="24"/>
              </w:rPr>
              <w:t>国产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7875" w:type="dxa"/>
            <w:gridSpan w:val="4"/>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343.3</w:t>
            </w:r>
            <w:r>
              <w:rPr>
                <w:rFonts w:hint="eastAsia" w:ascii="宋体" w:hAnsi="宋体" w:eastAsia="宋体" w:cs="宋体"/>
                <w:color w:val="auto"/>
                <w:sz w:val="24"/>
                <w:szCs w:val="24"/>
              </w:rPr>
              <w:t>万元</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7"/>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7"/>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本项目用信息化手段配合教学模型、教学资源、考核评价、统计等全系列的统筹管理，建设一个完整的临床技能培训解决方案形成由可以实现高效、有序、客观的医学模拟教学管理。通过此次建设中心可实现OSCE考站（8个）、资源管理、课程管理、实验室开放管理、教学绩效管理、电子考试、随时练、随时考评、用户管理、全局总控监视等功能。对于提升临床技能培训中心的智能化和科学化管理水平有积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7"/>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4802" w:type="dxa"/>
            <w:gridSpan w:val="3"/>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描  述</w:t>
            </w:r>
          </w:p>
        </w:tc>
        <w:tc>
          <w:tcPr>
            <w:tcW w:w="3286"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pStyle w:val="2"/>
              <w:keepNext w:val="0"/>
              <w:keepLines w:val="0"/>
              <w:pageBreakBefore w:val="0"/>
              <w:kinsoku/>
              <w:wordWrap/>
              <w:overflowPunct/>
              <w:topLinePunct w:val="0"/>
              <w:autoSpaceDE/>
              <w:autoSpaceDN/>
              <w:bidi w:val="0"/>
              <w:spacing w:after="0"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snapToGrid w:val="0"/>
                <w:color w:val="auto"/>
                <w:sz w:val="24"/>
                <w:szCs w:val="24"/>
                <w:lang w:eastAsia="zh-CN"/>
              </w:rPr>
              <w:t>1</w:t>
            </w:r>
          </w:p>
        </w:tc>
        <w:tc>
          <w:tcPr>
            <w:tcW w:w="4802" w:type="dxa"/>
            <w:gridSpan w:val="3"/>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数据服务器</w:t>
            </w:r>
            <w:r>
              <w:rPr>
                <w:rFonts w:hint="eastAsia" w:ascii="宋体" w:hAnsi="宋体" w:eastAsia="宋体" w:cs="宋体"/>
                <w:color w:val="auto"/>
                <w:sz w:val="24"/>
                <w:szCs w:val="24"/>
              </w:rPr>
              <w:t>（核心产品）</w:t>
            </w:r>
          </w:p>
        </w:tc>
        <w:tc>
          <w:tcPr>
            <w:tcW w:w="3286"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802" w:type="dxa"/>
            <w:gridSpan w:val="3"/>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服务器网络机柜</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4802" w:type="dxa"/>
            <w:gridSpan w:val="3"/>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POE交换机</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无线AP</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400万像素摄像机</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操作终端</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广播主机</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网络硬盘录像机</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55寸液晶显示屏</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人面识别门禁一体机</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86寸一体机</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考生信息显示屏</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OSCE考站软件系统（核心产品）</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资源管理软件系统</w:t>
            </w:r>
            <w:r>
              <w:rPr>
                <w:rFonts w:hint="eastAsia" w:ascii="宋体" w:hAnsi="宋体" w:eastAsia="宋体" w:cs="宋体"/>
                <w:color w:val="auto"/>
                <w:sz w:val="24"/>
                <w:szCs w:val="24"/>
              </w:rPr>
              <w:t>（核心产品）</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课程管理软件系统</w:t>
            </w:r>
            <w:r>
              <w:rPr>
                <w:rFonts w:hint="eastAsia" w:ascii="宋体" w:hAnsi="宋体" w:eastAsia="宋体" w:cs="宋体"/>
                <w:color w:val="auto"/>
                <w:sz w:val="24"/>
                <w:szCs w:val="24"/>
              </w:rPr>
              <w:t>（核心产品）</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实验室开放软件系统</w:t>
            </w:r>
            <w:r>
              <w:rPr>
                <w:rFonts w:hint="eastAsia" w:ascii="宋体" w:hAnsi="宋体" w:eastAsia="宋体" w:cs="宋体"/>
                <w:color w:val="auto"/>
                <w:sz w:val="24"/>
                <w:szCs w:val="24"/>
              </w:rPr>
              <w:t>（核心产品）</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教学绩效管理软件系统</w:t>
            </w:r>
            <w:r>
              <w:rPr>
                <w:rFonts w:hint="eastAsia" w:ascii="宋体" w:hAnsi="宋体" w:eastAsia="宋体" w:cs="宋体"/>
                <w:color w:val="auto"/>
                <w:sz w:val="24"/>
                <w:szCs w:val="24"/>
              </w:rPr>
              <w:t>（核心产品）</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电子考试软件系统</w:t>
            </w:r>
            <w:r>
              <w:rPr>
                <w:rFonts w:hint="eastAsia" w:ascii="宋体" w:hAnsi="宋体" w:eastAsia="宋体" w:cs="宋体"/>
                <w:color w:val="auto"/>
                <w:sz w:val="24"/>
                <w:szCs w:val="24"/>
              </w:rPr>
              <w:t>（核心产品）</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随时练软件系统</w:t>
            </w:r>
            <w:r>
              <w:rPr>
                <w:rFonts w:hint="eastAsia" w:ascii="宋体" w:hAnsi="宋体" w:eastAsia="宋体" w:cs="宋体"/>
                <w:color w:val="auto"/>
                <w:sz w:val="24"/>
                <w:szCs w:val="24"/>
              </w:rPr>
              <w:t>（核心产品）</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随时考评软件系统</w:t>
            </w:r>
            <w:r>
              <w:rPr>
                <w:rFonts w:hint="eastAsia" w:ascii="宋体" w:hAnsi="宋体" w:eastAsia="宋体" w:cs="宋体"/>
                <w:color w:val="auto"/>
                <w:sz w:val="24"/>
                <w:szCs w:val="24"/>
              </w:rPr>
              <w:t>（核心产品）</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用户管理软件系统</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4802"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全局总控监视软件系统</w:t>
            </w:r>
          </w:p>
        </w:tc>
        <w:tc>
          <w:tcPr>
            <w:tcW w:w="3286"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6"/>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指标名称</w:t>
            </w:r>
          </w:p>
        </w:tc>
        <w:tc>
          <w:tcPr>
            <w:tcW w:w="7866" w:type="dxa"/>
            <w:gridSpan w:val="3"/>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60"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数据服务器</w:t>
            </w:r>
          </w:p>
        </w:tc>
        <w:tc>
          <w:tcPr>
            <w:tcW w:w="7866" w:type="dxa"/>
            <w:gridSpan w:val="3"/>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1）2个4208CPU；</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2）≥两个千兆光口；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3）内存≥64GB、硬盘≥32TB（单块硬盘容量不低于4TB，硬盘大于等于4块）SATA硬盘,可扩展，RAID 5；</w:t>
            </w:r>
          </w:p>
          <w:p>
            <w:pPr>
              <w:pStyle w:val="2"/>
              <w:keepNext w:val="0"/>
              <w:keepLines w:val="0"/>
              <w:pageBreakBefore w:val="0"/>
              <w:kinsoku/>
              <w:wordWrap/>
              <w:overflowPunct/>
              <w:topLinePunct w:val="0"/>
              <w:autoSpaceDE/>
              <w:autoSpaceDN/>
              <w:bidi w:val="0"/>
              <w:spacing w:after="0" w:line="24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4）双电源模块；</w:t>
            </w:r>
          </w:p>
          <w:p>
            <w:pPr>
              <w:pStyle w:val="2"/>
              <w:keepNext w:val="0"/>
              <w:keepLines w:val="0"/>
              <w:pageBreakBefore w:val="0"/>
              <w:kinsoku/>
              <w:wordWrap/>
              <w:overflowPunct/>
              <w:topLinePunct w:val="0"/>
              <w:autoSpaceDE/>
              <w:autoSpaceDN/>
              <w:bidi w:val="0"/>
              <w:spacing w:after="0" w:line="240" w:lineRule="auto"/>
              <w:jc w:val="left"/>
              <w:textAlignment w:val="auto"/>
              <w:rPr>
                <w:rFonts w:hint="eastAsia" w:ascii="宋体" w:hAnsi="宋体" w:eastAsia="宋体" w:cs="宋体"/>
                <w:color w:val="auto"/>
                <w:sz w:val="24"/>
                <w:szCs w:val="24"/>
              </w:rPr>
            </w:pPr>
            <w:r>
              <w:rPr>
                <w:rFonts w:hint="eastAsia" w:ascii="宋体" w:hAnsi="宋体" w:eastAsia="宋体" w:cs="宋体"/>
                <w:snapToGrid w:val="0"/>
                <w:color w:val="auto"/>
                <w:sz w:val="24"/>
                <w:szCs w:val="24"/>
                <w:lang w:eastAsia="zh-CN"/>
              </w:rPr>
              <w:t>数据备份，原始资料归招标方保存。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60"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服务器网络机柜</w:t>
            </w:r>
          </w:p>
        </w:tc>
        <w:tc>
          <w:tcPr>
            <w:tcW w:w="7866" w:type="dxa"/>
            <w:gridSpan w:val="3"/>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1）标准符合：ANSI/EIA RS-310-DIEC297-2DIN41491</w:t>
            </w:r>
            <w:r>
              <w:rPr>
                <w:rFonts w:hint="eastAsia" w:ascii="宋体" w:hAnsi="宋体" w:cs="宋体"/>
                <w:color w:val="auto"/>
                <w:sz w:val="24"/>
                <w:szCs w:val="24"/>
                <w:lang w:eastAsia="zh-CN"/>
              </w:rPr>
              <w:t>；</w:t>
            </w:r>
            <w:r>
              <w:rPr>
                <w:rFonts w:hint="eastAsia" w:ascii="宋体" w:hAnsi="宋体" w:eastAsia="宋体" w:cs="宋体"/>
                <w:color w:val="auto"/>
                <w:sz w:val="24"/>
                <w:szCs w:val="24"/>
              </w:rPr>
              <w:t>PART1DIN41494</w:t>
            </w:r>
            <w:r>
              <w:rPr>
                <w:rFonts w:hint="eastAsia" w:ascii="宋体" w:hAnsi="宋体" w:cs="宋体"/>
                <w:color w:val="auto"/>
                <w:sz w:val="24"/>
                <w:szCs w:val="24"/>
                <w:lang w:eastAsia="zh-CN"/>
              </w:rPr>
              <w:t>；</w:t>
            </w:r>
            <w:r>
              <w:rPr>
                <w:rFonts w:hint="eastAsia" w:ascii="宋体" w:hAnsi="宋体" w:eastAsia="宋体" w:cs="宋体"/>
                <w:color w:val="auto"/>
                <w:sz w:val="24"/>
                <w:szCs w:val="24"/>
              </w:rPr>
              <w:t>PART7、GB/T3047.2-92标准；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2）至少可兼容ETSI标准；</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3）使用六类非屏蔽网线，线径≥0.57mm无氧铜芯；</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4）其他参照国家执行标准。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60" w:type="dxa"/>
            <w:gridSpan w:val="2"/>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POE交换机</w:t>
            </w:r>
          </w:p>
        </w:tc>
        <w:tc>
          <w:tcPr>
            <w:tcW w:w="7866" w:type="dxa"/>
            <w:gridSpan w:val="3"/>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1）包转发率51/126Mpps；</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★2）交换容量336Gbps/3.36Tbps；</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3）固定端口24个千兆电口、4个千兆SFP光口；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支持视频监控、VLAN隔离、标准交换三种工作模式；                                              5) 支持IEEE802.3X全双工流控与Backpressure半双工流控 ；                                       6) 支持端口自动翻转（Auto MDI/MDIX）功能；</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 所有端口均具备线速转发能力。</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color w:val="auto"/>
                <w:kern w:val="2"/>
                <w:sz w:val="24"/>
                <w:szCs w:val="24"/>
                <w:lang w:eastAsia="zh-CN"/>
              </w:rPr>
            </w:pPr>
            <w:r>
              <w:rPr>
                <w:rFonts w:hint="eastAsia" w:ascii="宋体" w:hAnsi="宋体" w:eastAsia="宋体" w:cs="宋体"/>
                <w:snapToGrid w:val="0"/>
                <w:color w:val="auto"/>
                <w:sz w:val="24"/>
                <w:szCs w:val="24"/>
                <w:lang w:eastAsia="zh-CN"/>
              </w:rPr>
              <w:t>★8</w:t>
            </w:r>
            <w:r>
              <w:rPr>
                <w:rFonts w:hint="eastAsia" w:ascii="宋体" w:hAnsi="宋体" w:eastAsia="宋体" w:cs="宋体"/>
                <w:bCs/>
                <w:snapToGrid w:val="0"/>
                <w:color w:val="auto"/>
                <w:sz w:val="24"/>
                <w:szCs w:val="24"/>
                <w:lang w:eastAsia="zh-CN"/>
              </w:rPr>
              <w:t>)</w:t>
            </w:r>
            <w:r>
              <w:rPr>
                <w:rFonts w:hint="eastAsia" w:ascii="宋体" w:hAnsi="宋体" w:eastAsia="宋体" w:cs="宋体"/>
                <w:color w:val="auto"/>
                <w:kern w:val="2"/>
                <w:sz w:val="24"/>
                <w:szCs w:val="24"/>
                <w:lang w:eastAsia="zh-CN"/>
              </w:rPr>
              <w:t>支持通过手机APP和管理平台，查看设备状态和端口速率；</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color w:val="auto"/>
                <w:sz w:val="24"/>
                <w:szCs w:val="24"/>
              </w:rPr>
            </w:pPr>
            <w:r>
              <w:rPr>
                <w:rFonts w:hint="eastAsia" w:ascii="宋体" w:hAnsi="宋体" w:eastAsia="宋体" w:cs="宋体"/>
                <w:bCs/>
                <w:snapToGrid w:val="0"/>
                <w:color w:val="auto"/>
                <w:sz w:val="24"/>
                <w:szCs w:val="24"/>
                <w:lang w:eastAsia="zh-CN"/>
              </w:rPr>
              <w:t>9)</w:t>
            </w:r>
            <w:r>
              <w:rPr>
                <w:rFonts w:hint="eastAsia" w:ascii="宋体" w:hAnsi="宋体" w:eastAsia="宋体" w:cs="宋体"/>
                <w:color w:val="auto"/>
                <w:kern w:val="2"/>
                <w:sz w:val="24"/>
                <w:szCs w:val="24"/>
                <w:lang w:eastAsia="zh-CN"/>
              </w:rPr>
              <w:t>远程修改端口配置和VLAN配置。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无线AP</w:t>
            </w:r>
          </w:p>
        </w:tc>
        <w:tc>
          <w:tcPr>
            <w:tcW w:w="7866" w:type="dxa"/>
            <w:gridSpan w:val="3"/>
            <w:vAlign w:val="center"/>
          </w:tcPr>
          <w:p>
            <w:pPr>
              <w:pStyle w:val="2"/>
              <w:keepNext w:val="0"/>
              <w:keepLines w:val="0"/>
              <w:pageBreakBefore w:val="0"/>
              <w:numPr>
                <w:ilvl w:val="0"/>
                <w:numId w:val="2"/>
              </w:numPr>
              <w:kinsoku/>
              <w:wordWrap/>
              <w:overflowPunct/>
              <w:topLinePunct w:val="0"/>
              <w:autoSpaceDE/>
              <w:autoSpaceDN/>
              <w:bidi w:val="0"/>
              <w:spacing w:after="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吸顶式AP，包含安装所需全部耗材；</w:t>
            </w:r>
          </w:p>
          <w:p>
            <w:pPr>
              <w:keepNext w:val="0"/>
              <w:keepLines w:val="0"/>
              <w:pageBreakBefore w:val="0"/>
              <w:numPr>
                <w:ilvl w:val="0"/>
                <w:numId w:val="3"/>
              </w:numPr>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尺寸（宽 x 深 x 高）200mm×200mm×47mm；</w:t>
            </w:r>
          </w:p>
          <w:p>
            <w:pPr>
              <w:keepNext w:val="0"/>
              <w:keepLines w:val="0"/>
              <w:pageBreakBefore w:val="0"/>
              <w:numPr>
                <w:ilvl w:val="0"/>
                <w:numId w:val="3"/>
              </w:numPr>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3）电源输入DC：12V±10%；</w:t>
            </w:r>
          </w:p>
          <w:p>
            <w:pPr>
              <w:keepNext w:val="0"/>
              <w:keepLines w:val="0"/>
              <w:pageBreakBefore w:val="0"/>
              <w:numPr>
                <w:ilvl w:val="0"/>
                <w:numId w:val="3"/>
              </w:numPr>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4）POE供电：满足802.3at以太网供电标准；</w:t>
            </w:r>
          </w:p>
          <w:p>
            <w:pPr>
              <w:keepNext w:val="0"/>
              <w:keepLines w:val="0"/>
              <w:pageBreakBefore w:val="0"/>
              <w:numPr>
                <w:ilvl w:val="0"/>
                <w:numId w:val="3"/>
              </w:numPr>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5）最大功耗≤15.8W（不含USB和IOT）；</w:t>
            </w:r>
          </w:p>
          <w:p>
            <w:pPr>
              <w:keepNext w:val="0"/>
              <w:keepLines w:val="0"/>
              <w:pageBreakBefore w:val="0"/>
              <w:numPr>
                <w:ilvl w:val="0"/>
                <w:numId w:val="3"/>
              </w:numPr>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6）天线类型 ：内置智能天线；</w:t>
            </w:r>
          </w:p>
          <w:p>
            <w:pPr>
              <w:keepNext w:val="0"/>
              <w:keepLines w:val="0"/>
              <w:pageBreakBefore w:val="0"/>
              <w:numPr>
                <w:ilvl w:val="0"/>
                <w:numId w:val="3"/>
              </w:numPr>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7）可同时在线的用户数量：≥512；</w:t>
            </w:r>
          </w:p>
          <w:p>
            <w:pPr>
              <w:keepNext w:val="0"/>
              <w:keepLines w:val="0"/>
              <w:pageBreakBefore w:val="0"/>
              <w:numPr>
                <w:ilvl w:val="0"/>
                <w:numId w:val="3"/>
              </w:numPr>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8）最高速率：≥1.775 Gbps；</w:t>
            </w:r>
          </w:p>
          <w:p>
            <w:pPr>
              <w:keepNext w:val="0"/>
              <w:keepLines w:val="0"/>
              <w:pageBreakBefore w:val="0"/>
              <w:numPr>
                <w:ilvl w:val="0"/>
                <w:numId w:val="4"/>
              </w:numPr>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频率范围双频支持2.4G和5G；</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10）配套相应的AP管理设备。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400万像素摄像机</w:t>
            </w:r>
          </w:p>
        </w:tc>
        <w:tc>
          <w:tcPr>
            <w:tcW w:w="7866" w:type="dxa"/>
            <w:gridSpan w:val="3"/>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1）图像传感器: 1/3”progressive  scan  CMOS；</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2）最低照度:彩色：0.05Lux @ (F1.5，AGC ON)；</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3）黑白：0.01Lux @ (F1.5，AGC ON)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4）分辨率及帧率:主码流 50Hz:25fps (2560x1440)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5）60Hz: 30fps(2560x1440)；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视频压缩:H.265/H.264/MJPEG；H.264支持Baseline Profile/Main Profile/High Profile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7）焦距:2.8-12mm，4倍光学变倍 ；</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水平视角:96.7-31.6度(广角-望远)；</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Smart图像增强:120dB超宽动态、透雾、强光抑制、电子防抖；</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 水平及垂直范围:水平350°监控无死角；垂直0°－90°。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操作终端</w:t>
            </w:r>
          </w:p>
        </w:tc>
        <w:tc>
          <w:tcPr>
            <w:tcW w:w="7866" w:type="dxa"/>
            <w:gridSpan w:val="3"/>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1）屏幕尺寸 ≥10.8英寸；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2）影音娱乐平板电脑8GB+64GB WiFi；</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3）操作系统 Android 9.0；</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4）处理器 ：八核；</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5）系统内存 8GB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6）硬盘：64G；</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7）屏幕分辨率 2560*1600；</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8）屏幕比例 16:10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9）前置摄像头 800w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10）分辨率：超高清屏（2K/3K/4K）。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广播主机</w:t>
            </w:r>
          </w:p>
        </w:tc>
        <w:tc>
          <w:tcPr>
            <w:tcW w:w="7866" w:type="dxa"/>
            <w:gridSpan w:val="3"/>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1）≥15英寸触摸屏：</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2）TFT262144 真彩色；</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3）1024*768分辨率液晶 ，触摸屏，可使用USB键盘和USB鼠标；</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4）CPU：Intel 双核两线程，1.8GHz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5）硬盘容量：128G SSD 固态硬盘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6）网卡：Realtek RTL8103EL，1000M；</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7）标准接口:1×3.5监听；1×PS/2接口；USB接口；</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8）系统音频信号信噪比：LINE:70dB；MIC:60dB；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9）系统音频信失真度：1KHz&lt;0.5%；频率响应：≥50Hz—15KHz；</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10）系统音频信号标准输入电平：LINE:300mV；MIC:5mV；</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11）系统外部音频信号输入接口：2路LINE、1路MIC；</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12）系统支持： Windows 2003server，具有一路短路触发开机运行接口，用于定时驱动开机运行，实现无人值守功能；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内置6组工业异步传输接口，内置4组通用串行总线，最高480M传输速率；输入电源：～220V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网络硬盘录像机</w:t>
            </w:r>
          </w:p>
        </w:tc>
        <w:tc>
          <w:tcPr>
            <w:tcW w:w="7866" w:type="dxa"/>
            <w:gridSpan w:val="3"/>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1）2U标准机架式；</w:t>
            </w:r>
            <w:r>
              <w:rPr>
                <w:rFonts w:hint="eastAsia" w:ascii="宋体" w:hAnsi="宋体" w:eastAsia="宋体" w:cs="宋体"/>
                <w:color w:val="auto"/>
                <w:sz w:val="24"/>
                <w:szCs w:val="24"/>
              </w:rPr>
              <w:cr/>
            </w:r>
            <w:r>
              <w:rPr>
                <w:rFonts w:hint="eastAsia" w:ascii="宋体" w:hAnsi="宋体" w:eastAsia="宋体" w:cs="宋体"/>
                <w:color w:val="auto"/>
                <w:sz w:val="24"/>
                <w:szCs w:val="24"/>
              </w:rPr>
              <w:t>2）2个HDMI接口，2个VGA,HDMI+VGA组内同源；</w:t>
            </w:r>
            <w:r>
              <w:rPr>
                <w:rFonts w:hint="eastAsia" w:ascii="宋体" w:hAnsi="宋体" w:eastAsia="宋体" w:cs="宋体"/>
                <w:color w:val="auto"/>
                <w:sz w:val="24"/>
                <w:szCs w:val="24"/>
              </w:rPr>
              <w:cr/>
            </w:r>
            <w:r>
              <w:rPr>
                <w:rFonts w:hint="eastAsia" w:ascii="宋体" w:hAnsi="宋体" w:eastAsia="宋体" w:cs="宋体"/>
                <w:color w:val="auto"/>
                <w:sz w:val="24"/>
                <w:szCs w:val="24"/>
              </w:rPr>
              <w:t>3）8盘位，6TB硬盘 ；</w:t>
            </w:r>
            <w:r>
              <w:rPr>
                <w:rFonts w:hint="eastAsia" w:ascii="宋体" w:hAnsi="宋体" w:eastAsia="宋体" w:cs="宋体"/>
                <w:color w:val="auto"/>
                <w:sz w:val="24"/>
                <w:szCs w:val="24"/>
              </w:rPr>
              <w:cr/>
            </w:r>
            <w:r>
              <w:rPr>
                <w:rFonts w:hint="eastAsia" w:ascii="宋体" w:hAnsi="宋体" w:eastAsia="宋体" w:cs="宋体"/>
                <w:color w:val="auto"/>
                <w:sz w:val="24"/>
                <w:szCs w:val="24"/>
              </w:rPr>
              <w:t>4）2个千兆网口；</w:t>
            </w:r>
            <w:r>
              <w:rPr>
                <w:rFonts w:hint="eastAsia" w:ascii="宋体" w:hAnsi="宋体" w:eastAsia="宋体" w:cs="宋体"/>
                <w:color w:val="auto"/>
                <w:sz w:val="24"/>
                <w:szCs w:val="24"/>
              </w:rPr>
              <w:cr/>
            </w:r>
            <w:r>
              <w:rPr>
                <w:rFonts w:hint="eastAsia" w:ascii="宋体" w:hAnsi="宋体" w:eastAsia="宋体" w:cs="宋体"/>
                <w:color w:val="auto"/>
                <w:sz w:val="24"/>
                <w:szCs w:val="24"/>
              </w:rPr>
              <w:t>5）2个USB2.0接口、1个USB3.0接口；</w:t>
            </w:r>
            <w:r>
              <w:rPr>
                <w:rFonts w:hint="eastAsia" w:ascii="宋体" w:hAnsi="宋体" w:eastAsia="宋体" w:cs="宋体"/>
                <w:color w:val="auto"/>
                <w:sz w:val="24"/>
                <w:szCs w:val="24"/>
              </w:rPr>
              <w:cr/>
            </w:r>
            <w:r>
              <w:rPr>
                <w:rFonts w:hint="eastAsia" w:ascii="宋体" w:hAnsi="宋体" w:eastAsia="宋体" w:cs="宋体"/>
                <w:color w:val="auto"/>
                <w:sz w:val="24"/>
                <w:szCs w:val="24"/>
              </w:rPr>
              <w:t>6）1个eSATA接口；</w:t>
            </w:r>
            <w:r>
              <w:rPr>
                <w:rFonts w:hint="eastAsia" w:ascii="宋体" w:hAnsi="宋体" w:eastAsia="宋体" w:cs="宋体"/>
                <w:color w:val="auto"/>
                <w:sz w:val="24"/>
                <w:szCs w:val="24"/>
              </w:rPr>
              <w:cr/>
            </w:r>
            <w:r>
              <w:rPr>
                <w:rFonts w:hint="eastAsia" w:ascii="宋体" w:hAnsi="宋体" w:eastAsia="宋体" w:cs="宋体"/>
                <w:color w:val="auto"/>
                <w:sz w:val="24"/>
                <w:szCs w:val="24"/>
              </w:rPr>
              <w:t>7）输入带宽：320M；</w:t>
            </w:r>
            <w:r>
              <w:rPr>
                <w:rFonts w:hint="eastAsia" w:ascii="宋体" w:hAnsi="宋体" w:eastAsia="宋体" w:cs="宋体"/>
                <w:color w:val="auto"/>
                <w:sz w:val="24"/>
                <w:szCs w:val="24"/>
              </w:rPr>
              <w:cr/>
            </w:r>
            <w:r>
              <w:rPr>
                <w:rFonts w:hint="eastAsia" w:ascii="宋体" w:hAnsi="宋体" w:eastAsia="宋体" w:cs="宋体"/>
                <w:color w:val="auto"/>
                <w:sz w:val="24"/>
                <w:szCs w:val="24"/>
              </w:rPr>
              <w:t>8）64路H.264、H.265混合接入；</w:t>
            </w:r>
            <w:r>
              <w:rPr>
                <w:rFonts w:hint="eastAsia" w:ascii="宋体" w:hAnsi="宋体" w:eastAsia="宋体" w:cs="宋体"/>
                <w:color w:val="auto"/>
                <w:sz w:val="24"/>
                <w:szCs w:val="24"/>
              </w:rPr>
              <w:cr/>
            </w:r>
            <w:r>
              <w:rPr>
                <w:rFonts w:hint="eastAsia" w:ascii="宋体" w:hAnsi="宋体" w:eastAsia="宋体" w:cs="宋体"/>
                <w:color w:val="auto"/>
                <w:sz w:val="24"/>
                <w:szCs w:val="24"/>
              </w:rPr>
              <w:t>9）最大支持8×1080P解码；</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10）支持H.265、H.264解码。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7"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55寸液晶显示屏</w:t>
            </w:r>
          </w:p>
        </w:tc>
        <w:tc>
          <w:tcPr>
            <w:tcW w:w="7866" w:type="dxa"/>
            <w:gridSpan w:val="3"/>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1）尺寸：55寸超窄边液晶拼接单元；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2）亮度：500cd/m2；</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★3）显示模式：16：9 拼接缝隙：≤1.8mm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4）可视角度：178°；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5）分辨率：1920x1080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6）使用寿命：≥60000小时；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★7）内置拼接控制器可实现图像拼接显示功能；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8）拼接控制软件支持单屏、多屏信号调整；可灵活将多个屏幕拼接组合；可调整屏幕亮度、对比度、颜色等；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9）安装结构</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前维护支架，支架采用双液压前维护支架；支架包边；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10）各种线材：</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至少包含HDMI线，镀金接口耐腐蚀不生锈，信号传输更稳定；多重屏蔽抗干扰：铝箔+麦拉+编织网三层屏蔽网，无闪屏、黑屏、水纹；</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color w:val="auto"/>
                <w:sz w:val="24"/>
                <w:szCs w:val="24"/>
              </w:rPr>
            </w:pPr>
            <w:r>
              <w:rPr>
                <w:rFonts w:hint="eastAsia" w:ascii="宋体" w:hAnsi="宋体" w:eastAsia="宋体" w:cs="宋体"/>
                <w:snapToGrid w:val="0"/>
                <w:color w:val="auto"/>
                <w:sz w:val="24"/>
                <w:szCs w:val="24"/>
                <w:lang w:eastAsia="zh-CN"/>
              </w:rPr>
              <w:t>11）至少包含国标6孔插排、工业级电源线、R232控制线、USB转串口转接头等。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人面识别门禁一体机</w:t>
            </w:r>
          </w:p>
        </w:tc>
        <w:tc>
          <w:tcPr>
            <w:tcW w:w="7866" w:type="dxa"/>
            <w:gridSpan w:val="3"/>
            <w:vAlign w:val="center"/>
          </w:tcPr>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snapToGrid w:val="0"/>
                <w:color w:val="auto"/>
                <w:sz w:val="24"/>
                <w:szCs w:val="24"/>
                <w:lang w:eastAsia="zh-CN"/>
              </w:rPr>
            </w:pPr>
            <w:r>
              <w:rPr>
                <w:rFonts w:hint="eastAsia" w:ascii="宋体" w:hAnsi="宋体" w:eastAsia="宋体" w:cs="宋体"/>
                <w:snapToGrid w:val="0"/>
                <w:color w:val="auto"/>
                <w:sz w:val="24"/>
                <w:szCs w:val="24"/>
                <w:lang w:eastAsia="zh-CN"/>
              </w:rPr>
              <w:t>1）采用≥7英寸LCD触摸显示屏，≥200万像素双目摄像头，面部识别距离大于2m，支持照片视频防假；</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color w:val="auto"/>
                <w:sz w:val="24"/>
                <w:szCs w:val="24"/>
              </w:rPr>
            </w:pPr>
            <w:r>
              <w:rPr>
                <w:rFonts w:hint="eastAsia" w:ascii="宋体" w:hAnsi="宋体" w:eastAsia="宋体" w:cs="宋体"/>
                <w:snapToGrid w:val="0"/>
                <w:color w:val="auto"/>
                <w:sz w:val="24"/>
                <w:szCs w:val="24"/>
                <w:lang w:eastAsia="zh-CN"/>
              </w:rPr>
              <w:t>2）开门按钮≥280Kg单门磁力锁。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86寸一体机</w:t>
            </w:r>
          </w:p>
        </w:tc>
        <w:tc>
          <w:tcPr>
            <w:tcW w:w="7866"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1）采用红外触控及以上技术，显示尺寸≥86英寸；物理分辨率：≥3840 × 2160，整机屏幕与屏幕保护层零贴合技术，有效将单点、多点触摸精度≤3mm,支持≥10点触控，亮度≥300cd/ M2，对比度≥1200：1，最大可视角度≥178度；</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2）机身采用金属材质，交互黑板表面玻璃采用高强度钢化玻璃。使用国际通用标准的OPS插槽，一体化设计；</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3）产品具备抗振动、防跌落特性，整机环境适应性强，整体功能能稳定使用；</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4）产品具备Wifi、蓝牙功能及物理防蓝光功能；</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产品需具备同一界面上多人多点触摸操作控制显示的信息内容并具有人性化的点击、互动、查询、放大缩小、旋转、翻页等互动展示功能，支持无线投屏功能。支持任何通道书写、截图、录屏等功能；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6）产品需配备双系统Android 与 Windows，配备标配正版办公软件与办公系统，软件根据教学语言环境可设置中、英文切换，白板教学系统电脑配置内存≥16GB；</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7）硬盘：≥256G SSD固态硬盘，CPU采用Intel第8代以上酷睿I7处理器或AMDR5---2700 以上配置，独立显卡GT1050,4G显存。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12</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考生信息显示屏</w:t>
            </w:r>
          </w:p>
        </w:tc>
        <w:tc>
          <w:tcPr>
            <w:tcW w:w="7866" w:type="dxa"/>
            <w:gridSpan w:val="3"/>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1）21.5英寸TFT显示屏</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2）分辨率≥1920*1080，屏幕比例16:9；</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3）显示颜色：8bitRGB，点间距：0.24795mm×0.24795mm；</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4）对比度：≤1000:1；</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亮度：≥280cd/㎡,可视角度（水平/垂直）：≥178°/178°，</w:t>
            </w:r>
          </w:p>
          <w:p>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响应时间：≤14ms；</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6）前置宽动态、200万像素摄像头；</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7）支持ISO14443TypeA、TypeB刷卡签到功能；</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8）2路USB接口，支持外接鼠标、U盘等。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13</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OSCE考站软件系统</w:t>
            </w:r>
          </w:p>
        </w:tc>
        <w:tc>
          <w:tcPr>
            <w:tcW w:w="7866" w:type="dxa"/>
            <w:gridSpan w:val="3"/>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1）组织机构和用户管理：用户自定义创建组织机构，支持为不同角色分配不同功能权限。每个人员都可以生成专属二维码，实现快捷识别，快捷登录。支持导出考试准考证；</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2）签到管理：扫条形码/二维码/身份证/人脸识别签到。</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随时查看签到进度，显示考试签到人数、已签离人数和未签离人数，也可导出签到考生列表、缺考考生列表、考试签离表；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★3）评分表和技能考题：系统自带评分表和技能考题≥5000个，支持3种以上评分表可导入系统；</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4）编辑技能考题：编辑技能考题时，至少包含题干、任务、评分表和图片、音频附件等；</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★5）支持单站、多站、长短站等多种考核模式，满足住培考核中的考站和亚考站的关联设置，保证考生在亚考站内完成操作后再参与大考站之间的轮循中；</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6）智能引导：包括候考区、考站外和考站内等；</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7）成绩管控：支持评分结束后立即提交成绩，也支持评分后成绩暂存，多个成绩批量提交。具有离线评分功能，在网络突然中断情况下，依然可以进行评分，网络恢复后系统自动上传；</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8）评分系统：系统具有默认考生、评委语音提示内容，可根据考试需求编辑语音提示内容，设置多个倒计时提醒，支持自由编辑语音内容、PDF导出成绩单等；</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9）全局总控监视功能：支持大屏幕监控显示。一个全局总控支持≥16块大屏，共支持≥256路视频同时播放；系统支持多套布局的存储、调用，可完成快速布局转换；可通过拖拽完成摄像头在屏幕上的位置配置；</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10）支持云台控制；</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★11）每个房间配置拾音器支持实时对讲，总控可向所有房间或选定房间进行语音广播，查看所有房间及房间内音视频设备及考试状态。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资源管理软件系统</w:t>
            </w:r>
          </w:p>
        </w:tc>
        <w:tc>
          <w:tcPr>
            <w:tcW w:w="7866" w:type="dxa"/>
            <w:gridSpan w:val="3"/>
            <w:vAlign w:val="center"/>
          </w:tcPr>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1）管理员及实验员可对设备、器械、耗材、视音频设备（显示器、摄像头等）、房间等资源进行管理；可根据管理人员需求设置不同权限，各司其职；</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★2）可添加、编辑资源信息，进行借出、报损、报废、报失、回收、补货、设置到期归还提醒等功能，并可批量添加相同类型资源；</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3）系统可为每个资源自动生成唯一二维码，通过手持端扫描二维码，进行资源管理及追踪；</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★4）通过WEB端表格导入和手持端扫码两种方式可快捷录入实训室设备；</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5）可统计资源使用详情，并按照类型、个体查看统计结果，支持生成统计图，导出统计图的功能；</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6）手持端可搜索资源，可查看资源当前位置及操作日志，并可进行报损、报废、报失、回收、盘点等操作。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课程管理软件系统</w:t>
            </w:r>
          </w:p>
        </w:tc>
        <w:tc>
          <w:tcPr>
            <w:tcW w:w="7866" w:type="dxa"/>
            <w:gridSpan w:val="3"/>
            <w:vAlign w:val="center"/>
          </w:tcPr>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1）支持智能化课程排课功能，可进行课程预约和审批；</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快速排课可以通过填写较少的必要信息即实现课程的创建；</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排课过程中自动检测资源冲突（设备、器械、耗材、人员、房间冲突等)，可对已选择资源进行限时锁定；</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教师可选择课程模板导入到系统中，也可自行编辑课程；</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＃2）教师可上传课程相关资料信息，公布给学员，并根据课程需要任意增加场景数，编辑时间地图，实现课程的灵活设置；学员登录系统后可以利用资料自主学习。</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★3）教师可编写课程教案，同步到手持端离线，实现无纸化课程。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实验室开放软件系统</w:t>
            </w:r>
          </w:p>
        </w:tc>
        <w:tc>
          <w:tcPr>
            <w:tcW w:w="7866" w:type="dxa"/>
            <w:gridSpan w:val="3"/>
            <w:vAlign w:val="center"/>
          </w:tcPr>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★1）可进行开放训练室预约和审批，并支持非连续时间段和微信预约功能；</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2）预约时自动检测资源冲突（设备、器械、耗材、房间冲突等)；</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★3）审批通过后学员可自助预约，已审批通过的开放训练室通过智能门禁系统预约开门；</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4）可查看每天所有房间预约、使用情况。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教学绩效管理软件系统</w:t>
            </w:r>
          </w:p>
        </w:tc>
        <w:tc>
          <w:tcPr>
            <w:tcW w:w="7866" w:type="dxa"/>
            <w:gridSpan w:val="3"/>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1）审批环节执行严格的流程审批；</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申报人员可申请项目及项目类型，并实时查看其审批进度；</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专家可以使用教学质量评估表对项目承担人和接受人进行评价；</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2）实现课时费支持数据导出与导入；</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★3）统一用户管理功能，实现多个同品牌系统的单点登录功能，按照组织框架录入、管理人员信息。根据需要，灵活设定权限。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电子考试软件系统</w:t>
            </w:r>
          </w:p>
        </w:tc>
        <w:tc>
          <w:tcPr>
            <w:tcW w:w="7866" w:type="dxa"/>
            <w:gridSpan w:val="3"/>
            <w:vAlign w:val="center"/>
          </w:tcPr>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1）支持多种题型的试题创建、上传音频、视频附件；</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★2）提供题库管理功能，试题支持加密和共享，可以使用自己创建的题库以及共享题库；</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3）区分显示试题状态；</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4）支持试题乱序，实现相同试题不同考生作答次序不同；</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＃5）知识库里包括病例库、评分表库、反馈表库、课程模板库、技能课程模板库、视频库等，用户可对自己添加的相关资源进行编辑、共享、设置状态、复制的操作；</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6）系统自带大量的知识库资源可供用户编辑引用，≥100个病例、评分表、量表数据，支持用户自行填加；</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7）可从试题库中选取试题，设置不同题型数目及每题分值；</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8）可为试题设置难易度；</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9）系统自带设备评分表库，可为带即时检测功能的模型人提供评分标准和换算公式，一经选用，系统自动匹配，以便在排考中即时自动评分；</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10）支持第三方系统的接入，向外开放大量的API；</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color w:val="auto"/>
                <w:sz w:val="24"/>
                <w:szCs w:val="24"/>
              </w:rPr>
            </w:pPr>
            <w:r>
              <w:rPr>
                <w:rFonts w:hint="eastAsia" w:ascii="宋体" w:hAnsi="宋体" w:eastAsia="宋体" w:cs="宋体"/>
                <w:snapToGrid w:val="0"/>
                <w:color w:val="auto"/>
                <w:sz w:val="24"/>
                <w:szCs w:val="24"/>
                <w:lang w:eastAsia="zh-CN"/>
              </w:rPr>
              <w:t>11）提供题库导入工具（支持常规办公软件）。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随时练软件系统</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color w:val="auto"/>
                <w:sz w:val="24"/>
                <w:szCs w:val="24"/>
              </w:rPr>
            </w:pPr>
          </w:p>
        </w:tc>
        <w:tc>
          <w:tcPr>
            <w:tcW w:w="7866" w:type="dxa"/>
            <w:gridSpan w:val="3"/>
            <w:vAlign w:val="center"/>
          </w:tcPr>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★1）软件系统可为单个或多个技能生成对应二维码，生成二维码后即可进行技能学习；</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2）学生可以根据时间查询训练记录；</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3）学生可以查询视频作业成绩，查看评语和对应视频记录；</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4）系统匹配评分表，教师可以对学生提交的视频作业进行打分，支持添加图形标记、评语标记，亦可标记扣分点；</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5）教师点评后的作业自动或手动标记为精品案例并储存到服务器中，精品案例可在案例库中统一管理；</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＃6）系统能自动记录学生训练的内容和时间，教师点评内容及视频等信息，为整个学习过程提供完整的数据基础。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随时考评软件系统</w:t>
            </w:r>
          </w:p>
        </w:tc>
        <w:tc>
          <w:tcPr>
            <w:tcW w:w="7866" w:type="dxa"/>
            <w:gridSpan w:val="3"/>
            <w:vAlign w:val="center"/>
          </w:tcPr>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★1）内置评分表≥5000个；</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＃2）教务/评委/学员登录后展示平台评分表，优先展示置顶评分表，可将平台评分表下载到我的评分表用于考评；</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3）评价者未添加考评对象，可通过扫码考评对象的二维码方式进行考评；</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4）评价者添加考评对象后，可通过人员列表选择考评对象进行考评；</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★5）实时评价与打分，可实时通过邮件、微信等，分享给相关考生；</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6）评价者可在三层组织机构中自由添加任意一组织机构的考评对象到人员列表中；</w:t>
            </w:r>
          </w:p>
          <w:p>
            <w:pPr>
              <w:pStyle w:val="2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7）系统将考评对象的成绩明细自动生成文件存于服务器中，用于数据备份；</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8）根据考评情况、管理员通过筛选评价者、时间，系统自动展示所有评价对象的各项考核得分以及总成绩。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用户管理软件系统</w:t>
            </w:r>
          </w:p>
        </w:tc>
        <w:tc>
          <w:tcPr>
            <w:tcW w:w="7866" w:type="dxa"/>
            <w:gridSpan w:val="3"/>
            <w:vAlign w:val="center"/>
          </w:tcPr>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★1）管理系统为实训平台内所有产品提供统一接口，一次设定，可在所有子系统内使用；</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2）引入token机制进行用户认证，实现线上部署的安全认证体质；</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3）实现单点登录，使用CAS统一管理用户的登录登出和相关数据的验证；</w:t>
            </w:r>
          </w:p>
          <w:p>
            <w:pPr>
              <w:pStyle w:val="35"/>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4）系统支持多个独立的组织，组织下面可自由添加任意层级的组织机构，并提供组织机构查找、编辑以及删除功能。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全局总控监视软件系统</w:t>
            </w:r>
          </w:p>
        </w:tc>
        <w:tc>
          <w:tcPr>
            <w:tcW w:w="7866" w:type="dxa"/>
            <w:gridSpan w:val="3"/>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★1）通过token机制进行用户认证，保证网络安全并支持按照使用方意见二次开发。</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2）设备安装调试；根据用户需求进行软件定制开发；</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★3）考站装修综合布线（使用国际六路网线），可折叠的木质隔断、EI环保、考站內水晶头、音频线、线管、投影仪支架、螺钉、走线钉等安装到位。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项目所有软件、硬件具体要求</w:t>
            </w:r>
          </w:p>
        </w:tc>
        <w:tc>
          <w:tcPr>
            <w:tcW w:w="7866" w:type="dxa"/>
            <w:gridSpan w:val="3"/>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★1）可免费对接第三方软件系统，软件后台对用户开放，终身免费升级；</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★2）按照招标方的研究进行个性化定制；</w:t>
            </w:r>
          </w:p>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3）设备免费安装调试，根据场地实际需求完成综合布线；</w:t>
            </w:r>
          </w:p>
          <w:p>
            <w:pPr>
              <w:pStyle w:val="2"/>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color w:val="auto"/>
                <w:sz w:val="24"/>
                <w:szCs w:val="24"/>
              </w:rPr>
            </w:pPr>
            <w:r>
              <w:rPr>
                <w:rFonts w:hint="eastAsia" w:ascii="宋体" w:hAnsi="宋体" w:eastAsia="宋体" w:cs="宋体"/>
                <w:snapToGrid w:val="0"/>
                <w:color w:val="auto"/>
                <w:sz w:val="24"/>
                <w:szCs w:val="24"/>
                <w:lang w:eastAsia="zh-CN"/>
              </w:rPr>
              <w:t>4）安装设备、硬件等所需要的全部软件统一由投标方提供。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6"/>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售后服务要求（每一项都是“★”）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7866" w:type="dxa"/>
            <w:gridSpan w:val="3"/>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三年质保，软件终身免费升级，软件驻场服务三年。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备件库</w:t>
            </w:r>
          </w:p>
        </w:tc>
        <w:tc>
          <w:tcPr>
            <w:tcW w:w="7866" w:type="dxa"/>
            <w:gridSpan w:val="3"/>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国内有备件库。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维修站</w:t>
            </w:r>
          </w:p>
        </w:tc>
        <w:tc>
          <w:tcPr>
            <w:tcW w:w="7866" w:type="dxa"/>
            <w:gridSpan w:val="3"/>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西安有维修点并配备有维修工程师。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收费标准</w:t>
            </w:r>
          </w:p>
        </w:tc>
        <w:tc>
          <w:tcPr>
            <w:tcW w:w="7866" w:type="dxa"/>
            <w:gridSpan w:val="3"/>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质保期外配件及维修只收取成本费，免人工费。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培训支持</w:t>
            </w:r>
          </w:p>
        </w:tc>
        <w:tc>
          <w:tcPr>
            <w:tcW w:w="7866" w:type="dxa"/>
            <w:gridSpan w:val="3"/>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按实际需求进行培训，产品安装调试后对相关人员统一进行免费培训不低于3次。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维修响应</w:t>
            </w:r>
          </w:p>
        </w:tc>
        <w:tc>
          <w:tcPr>
            <w:tcW w:w="7866" w:type="dxa"/>
            <w:gridSpan w:val="3"/>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半小时内响应，2小时工程师到位。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22" w:type="dxa"/>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60" w:type="dxa"/>
            <w:gridSpan w:val="2"/>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到货时间</w:t>
            </w:r>
          </w:p>
        </w:tc>
        <w:tc>
          <w:tcPr>
            <w:tcW w:w="7866" w:type="dxa"/>
            <w:gridSpan w:val="3"/>
            <w:vAlign w:val="center"/>
          </w:tcPr>
          <w:p>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签订合同后，30个日历日到货。</w:t>
            </w:r>
          </w:p>
        </w:tc>
      </w:tr>
      <w:bookmarkEnd w:id="0"/>
      <w:bookmarkEnd w:id="1"/>
    </w:tbl>
    <w:p>
      <w:pPr>
        <w:widowControl/>
        <w:jc w:val="left"/>
        <w:rPr>
          <w:rFonts w:ascii="宋体" w:hAnsi="宋体" w:cs="黑体"/>
          <w:snapToGrid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B4AE6"/>
    <w:multiLevelType w:val="singleLevel"/>
    <w:tmpl w:val="B08B4AE6"/>
    <w:lvl w:ilvl="0" w:tentative="0">
      <w:start w:val="9"/>
      <w:numFmt w:val="decimal"/>
      <w:suff w:val="nothing"/>
      <w:lvlText w:val="%1）"/>
      <w:lvlJc w:val="left"/>
      <w:rPr>
        <w:rFonts w:hint="default"/>
        <w:color w:val="FF0000"/>
      </w:rPr>
    </w:lvl>
  </w:abstractNum>
  <w:abstractNum w:abstractNumId="1">
    <w:nsid w:val="C02F6643"/>
    <w:multiLevelType w:val="singleLevel"/>
    <w:tmpl w:val="C02F6643"/>
    <w:lvl w:ilvl="0" w:tentative="0">
      <w:start w:val="2"/>
      <w:numFmt w:val="decimal"/>
      <w:suff w:val="nothing"/>
      <w:lvlText w:val="%1）"/>
      <w:lvlJc w:val="left"/>
    </w:lvl>
  </w:abstractNum>
  <w:abstractNum w:abstractNumId="2">
    <w:nsid w:val="39B50D2C"/>
    <w:multiLevelType w:val="multilevel"/>
    <w:tmpl w:val="39B50D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4E2926"/>
    <w:multiLevelType w:val="multilevel"/>
    <w:tmpl w:val="564E29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lOWRmOWVmMmM1ZTVkZDQxY2FiNGE3NjBlMTg2ZWUifQ=="/>
  </w:docVars>
  <w:rsids>
    <w:rsidRoot w:val="19A15E62"/>
    <w:rsid w:val="0002044D"/>
    <w:rsid w:val="000342A6"/>
    <w:rsid w:val="00046163"/>
    <w:rsid w:val="000524C0"/>
    <w:rsid w:val="000545FE"/>
    <w:rsid w:val="00054C29"/>
    <w:rsid w:val="00062C9C"/>
    <w:rsid w:val="00094C83"/>
    <w:rsid w:val="000A384B"/>
    <w:rsid w:val="000C3A2F"/>
    <w:rsid w:val="000C6484"/>
    <w:rsid w:val="000D7416"/>
    <w:rsid w:val="000E5CA4"/>
    <w:rsid w:val="000F5286"/>
    <w:rsid w:val="001042B8"/>
    <w:rsid w:val="00107C49"/>
    <w:rsid w:val="00114AEA"/>
    <w:rsid w:val="0012041F"/>
    <w:rsid w:val="00120A60"/>
    <w:rsid w:val="00155B3B"/>
    <w:rsid w:val="00164C8E"/>
    <w:rsid w:val="00170A12"/>
    <w:rsid w:val="00176004"/>
    <w:rsid w:val="00192425"/>
    <w:rsid w:val="001A1628"/>
    <w:rsid w:val="001A734A"/>
    <w:rsid w:val="001C0B57"/>
    <w:rsid w:val="001C3337"/>
    <w:rsid w:val="001C6FDF"/>
    <w:rsid w:val="001F737E"/>
    <w:rsid w:val="00202DB2"/>
    <w:rsid w:val="002047C7"/>
    <w:rsid w:val="00221CC8"/>
    <w:rsid w:val="00230CF8"/>
    <w:rsid w:val="00234945"/>
    <w:rsid w:val="002468A0"/>
    <w:rsid w:val="00251BA2"/>
    <w:rsid w:val="00252FE9"/>
    <w:rsid w:val="0026015E"/>
    <w:rsid w:val="00266D0C"/>
    <w:rsid w:val="00267F1E"/>
    <w:rsid w:val="00285100"/>
    <w:rsid w:val="00296357"/>
    <w:rsid w:val="002A243F"/>
    <w:rsid w:val="002A29B8"/>
    <w:rsid w:val="002B40AE"/>
    <w:rsid w:val="002C1413"/>
    <w:rsid w:val="002C21FA"/>
    <w:rsid w:val="002C4BC4"/>
    <w:rsid w:val="002C7D01"/>
    <w:rsid w:val="002E0956"/>
    <w:rsid w:val="00300659"/>
    <w:rsid w:val="00312C68"/>
    <w:rsid w:val="003151D7"/>
    <w:rsid w:val="003250CD"/>
    <w:rsid w:val="00344E7A"/>
    <w:rsid w:val="003526D5"/>
    <w:rsid w:val="00361D23"/>
    <w:rsid w:val="003A3ABE"/>
    <w:rsid w:val="003A77C9"/>
    <w:rsid w:val="003B55C8"/>
    <w:rsid w:val="003C04BD"/>
    <w:rsid w:val="003C0D17"/>
    <w:rsid w:val="003C1FAC"/>
    <w:rsid w:val="003E304F"/>
    <w:rsid w:val="00415F46"/>
    <w:rsid w:val="00422CDF"/>
    <w:rsid w:val="004432F1"/>
    <w:rsid w:val="00465054"/>
    <w:rsid w:val="00472BFD"/>
    <w:rsid w:val="00480E1E"/>
    <w:rsid w:val="00486784"/>
    <w:rsid w:val="004A675A"/>
    <w:rsid w:val="004B3E73"/>
    <w:rsid w:val="004B5D66"/>
    <w:rsid w:val="004B60BB"/>
    <w:rsid w:val="004C37F8"/>
    <w:rsid w:val="004D21DD"/>
    <w:rsid w:val="004E7B7D"/>
    <w:rsid w:val="004F0634"/>
    <w:rsid w:val="00502B07"/>
    <w:rsid w:val="0050461A"/>
    <w:rsid w:val="00532C52"/>
    <w:rsid w:val="00540256"/>
    <w:rsid w:val="00541053"/>
    <w:rsid w:val="0054680A"/>
    <w:rsid w:val="00570E37"/>
    <w:rsid w:val="00576DCF"/>
    <w:rsid w:val="00580FC7"/>
    <w:rsid w:val="00581A2E"/>
    <w:rsid w:val="005A05C3"/>
    <w:rsid w:val="005B1EAD"/>
    <w:rsid w:val="005C1886"/>
    <w:rsid w:val="00603E75"/>
    <w:rsid w:val="00605788"/>
    <w:rsid w:val="00605842"/>
    <w:rsid w:val="00610077"/>
    <w:rsid w:val="00612084"/>
    <w:rsid w:val="0064153B"/>
    <w:rsid w:val="006415FC"/>
    <w:rsid w:val="00644F13"/>
    <w:rsid w:val="006464E9"/>
    <w:rsid w:val="00671C60"/>
    <w:rsid w:val="00673B7C"/>
    <w:rsid w:val="00682485"/>
    <w:rsid w:val="006C75FB"/>
    <w:rsid w:val="006D71A6"/>
    <w:rsid w:val="006F5127"/>
    <w:rsid w:val="00725A54"/>
    <w:rsid w:val="0073745C"/>
    <w:rsid w:val="0074369E"/>
    <w:rsid w:val="00776C3E"/>
    <w:rsid w:val="00790D63"/>
    <w:rsid w:val="007975BA"/>
    <w:rsid w:val="007A2AE1"/>
    <w:rsid w:val="007C061A"/>
    <w:rsid w:val="007D147D"/>
    <w:rsid w:val="007D37E2"/>
    <w:rsid w:val="007D6AA8"/>
    <w:rsid w:val="007E2DAD"/>
    <w:rsid w:val="007F4F99"/>
    <w:rsid w:val="008025C6"/>
    <w:rsid w:val="00815EDB"/>
    <w:rsid w:val="00822751"/>
    <w:rsid w:val="00826E11"/>
    <w:rsid w:val="0082728A"/>
    <w:rsid w:val="0083471C"/>
    <w:rsid w:val="008456AC"/>
    <w:rsid w:val="00846B87"/>
    <w:rsid w:val="008564A1"/>
    <w:rsid w:val="00860B28"/>
    <w:rsid w:val="00862772"/>
    <w:rsid w:val="008769A2"/>
    <w:rsid w:val="00891FC3"/>
    <w:rsid w:val="008A4967"/>
    <w:rsid w:val="008A64F5"/>
    <w:rsid w:val="00905E6A"/>
    <w:rsid w:val="00911B92"/>
    <w:rsid w:val="0091323C"/>
    <w:rsid w:val="00934229"/>
    <w:rsid w:val="00937EAA"/>
    <w:rsid w:val="00943275"/>
    <w:rsid w:val="009506CE"/>
    <w:rsid w:val="009972E8"/>
    <w:rsid w:val="009B4794"/>
    <w:rsid w:val="009C0046"/>
    <w:rsid w:val="009C48B5"/>
    <w:rsid w:val="009C5AD1"/>
    <w:rsid w:val="009D4E32"/>
    <w:rsid w:val="009E3452"/>
    <w:rsid w:val="00A011B6"/>
    <w:rsid w:val="00A02CAD"/>
    <w:rsid w:val="00A17223"/>
    <w:rsid w:val="00A23F6F"/>
    <w:rsid w:val="00A25852"/>
    <w:rsid w:val="00A33D6F"/>
    <w:rsid w:val="00A35327"/>
    <w:rsid w:val="00A4142E"/>
    <w:rsid w:val="00A579E1"/>
    <w:rsid w:val="00A64A4D"/>
    <w:rsid w:val="00A76416"/>
    <w:rsid w:val="00A95588"/>
    <w:rsid w:val="00A97192"/>
    <w:rsid w:val="00AA6CA3"/>
    <w:rsid w:val="00AC023F"/>
    <w:rsid w:val="00AC2FEC"/>
    <w:rsid w:val="00AC3F59"/>
    <w:rsid w:val="00AD70DA"/>
    <w:rsid w:val="00AD75E3"/>
    <w:rsid w:val="00B015F5"/>
    <w:rsid w:val="00B05F70"/>
    <w:rsid w:val="00B22D2F"/>
    <w:rsid w:val="00B43BC2"/>
    <w:rsid w:val="00B46DCB"/>
    <w:rsid w:val="00B4737F"/>
    <w:rsid w:val="00B52870"/>
    <w:rsid w:val="00B57386"/>
    <w:rsid w:val="00B7345A"/>
    <w:rsid w:val="00B745A2"/>
    <w:rsid w:val="00B853D8"/>
    <w:rsid w:val="00B8795D"/>
    <w:rsid w:val="00BA7466"/>
    <w:rsid w:val="00BC19C8"/>
    <w:rsid w:val="00C021A2"/>
    <w:rsid w:val="00C0235F"/>
    <w:rsid w:val="00C20B05"/>
    <w:rsid w:val="00C26053"/>
    <w:rsid w:val="00C42638"/>
    <w:rsid w:val="00C451A2"/>
    <w:rsid w:val="00C727AC"/>
    <w:rsid w:val="00C777B2"/>
    <w:rsid w:val="00C77FA6"/>
    <w:rsid w:val="00C91306"/>
    <w:rsid w:val="00CB4529"/>
    <w:rsid w:val="00CC08FC"/>
    <w:rsid w:val="00CC5702"/>
    <w:rsid w:val="00CF4071"/>
    <w:rsid w:val="00D035B2"/>
    <w:rsid w:val="00D25455"/>
    <w:rsid w:val="00D3534D"/>
    <w:rsid w:val="00D509BA"/>
    <w:rsid w:val="00D538F7"/>
    <w:rsid w:val="00D5507D"/>
    <w:rsid w:val="00D6649E"/>
    <w:rsid w:val="00D66EFD"/>
    <w:rsid w:val="00D769DA"/>
    <w:rsid w:val="00D844E9"/>
    <w:rsid w:val="00D84CDE"/>
    <w:rsid w:val="00D972C4"/>
    <w:rsid w:val="00DA396E"/>
    <w:rsid w:val="00DA3A8B"/>
    <w:rsid w:val="00DC5219"/>
    <w:rsid w:val="00E0561B"/>
    <w:rsid w:val="00E06986"/>
    <w:rsid w:val="00E06E2C"/>
    <w:rsid w:val="00E07EED"/>
    <w:rsid w:val="00E1044C"/>
    <w:rsid w:val="00E2333A"/>
    <w:rsid w:val="00E33608"/>
    <w:rsid w:val="00E458BB"/>
    <w:rsid w:val="00E46234"/>
    <w:rsid w:val="00E466E8"/>
    <w:rsid w:val="00E61849"/>
    <w:rsid w:val="00E80934"/>
    <w:rsid w:val="00E8381C"/>
    <w:rsid w:val="00E8460A"/>
    <w:rsid w:val="00EB61E8"/>
    <w:rsid w:val="00EC6509"/>
    <w:rsid w:val="00EC711F"/>
    <w:rsid w:val="00ED42E8"/>
    <w:rsid w:val="00EE242E"/>
    <w:rsid w:val="00EE2CE1"/>
    <w:rsid w:val="00EE384E"/>
    <w:rsid w:val="00EF45B8"/>
    <w:rsid w:val="00F1160B"/>
    <w:rsid w:val="00F11ED1"/>
    <w:rsid w:val="00F23E93"/>
    <w:rsid w:val="00F27A73"/>
    <w:rsid w:val="00F31AF6"/>
    <w:rsid w:val="00F35A7B"/>
    <w:rsid w:val="00F705B7"/>
    <w:rsid w:val="00F72DAD"/>
    <w:rsid w:val="00F81502"/>
    <w:rsid w:val="00F869C1"/>
    <w:rsid w:val="00F870C6"/>
    <w:rsid w:val="00FA1361"/>
    <w:rsid w:val="00FA17E7"/>
    <w:rsid w:val="00FA1DCC"/>
    <w:rsid w:val="00FA7DD0"/>
    <w:rsid w:val="00FB4B89"/>
    <w:rsid w:val="00FD101E"/>
    <w:rsid w:val="00FD63B8"/>
    <w:rsid w:val="00FE304F"/>
    <w:rsid w:val="09216720"/>
    <w:rsid w:val="095E1E76"/>
    <w:rsid w:val="152452C6"/>
    <w:rsid w:val="19A15E62"/>
    <w:rsid w:val="1BC13255"/>
    <w:rsid w:val="3DB27374"/>
    <w:rsid w:val="4B1A0036"/>
    <w:rsid w:val="506C597C"/>
    <w:rsid w:val="5BE87BAE"/>
    <w:rsid w:val="5F2B50E6"/>
    <w:rsid w:val="617C46E1"/>
    <w:rsid w:val="67075D70"/>
    <w:rsid w:val="6B354672"/>
    <w:rsid w:val="729320EB"/>
    <w:rsid w:val="72DC49EA"/>
    <w:rsid w:val="7C28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3">
    <w:name w:val="heading 3"/>
    <w:basedOn w:val="1"/>
    <w:next w:val="4"/>
    <w:link w:val="34"/>
    <w:qFormat/>
    <w:uiPriority w:val="0"/>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semiHidden/>
    <w:unhideWhenUsed/>
    <w:qFormat/>
    <w:uiPriority w:val="99"/>
    <w:pPr>
      <w:spacing w:after="120"/>
    </w:pPr>
    <w:rPr>
      <w:rFonts w:cs="Times New Roman"/>
    </w:rPr>
  </w:style>
  <w:style w:type="paragraph" w:styleId="4">
    <w:name w:val="Normal Indent"/>
    <w:basedOn w:val="1"/>
    <w:semiHidden/>
    <w:unhideWhenUsed/>
    <w:qFormat/>
    <w:uiPriority w:val="0"/>
    <w:pPr>
      <w:ind w:firstLine="420" w:firstLineChars="200"/>
    </w:pPr>
  </w:style>
  <w:style w:type="paragraph" w:styleId="5">
    <w:name w:val="Document Map"/>
    <w:basedOn w:val="1"/>
    <w:link w:val="26"/>
    <w:qFormat/>
    <w:uiPriority w:val="0"/>
    <w:rPr>
      <w:rFonts w:ascii="宋体"/>
      <w:sz w:val="18"/>
      <w:szCs w:val="18"/>
    </w:rPr>
  </w:style>
  <w:style w:type="paragraph" w:styleId="6">
    <w:name w:val="annotation text"/>
    <w:basedOn w:val="1"/>
    <w:link w:val="18"/>
    <w:qFormat/>
    <w:uiPriority w:val="0"/>
    <w:pPr>
      <w:jc w:val="left"/>
    </w:pPr>
  </w:style>
  <w:style w:type="paragraph" w:styleId="7">
    <w:name w:val="Plain Text"/>
    <w:basedOn w:val="1"/>
    <w:link w:val="22"/>
    <w:unhideWhenUsed/>
    <w:qFormat/>
    <w:uiPriority w:val="0"/>
    <w:rPr>
      <w:rFonts w:ascii="宋体" w:hAnsi="Courier New" w:eastAsiaTheme="minorEastAsia" w:cstheme="minorBidi"/>
      <w:szCs w:val="20"/>
    </w:rPr>
  </w:style>
  <w:style w:type="paragraph" w:styleId="8">
    <w:name w:val="Balloon Text"/>
    <w:basedOn w:val="1"/>
    <w:link w:val="21"/>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hint="eastAsia" w:ascii="宋体" w:hAnsi="宋体"/>
      <w:kern w:val="0"/>
      <w:sz w:val="24"/>
    </w:rPr>
  </w:style>
  <w:style w:type="paragraph" w:styleId="12">
    <w:name w:val="annotation subject"/>
    <w:basedOn w:val="6"/>
    <w:next w:val="6"/>
    <w:link w:val="19"/>
    <w:qFormat/>
    <w:uiPriority w:val="0"/>
    <w:rPr>
      <w:b/>
      <w:bCs/>
    </w:rPr>
  </w:style>
  <w:style w:type="character" w:styleId="15">
    <w:name w:val="annotation reference"/>
    <w:basedOn w:val="14"/>
    <w:qFormat/>
    <w:uiPriority w:val="0"/>
    <w:rPr>
      <w:sz w:val="21"/>
      <w:szCs w:val="21"/>
    </w:rPr>
  </w:style>
  <w:style w:type="character" w:customStyle="1" w:styleId="16">
    <w:name w:val="页眉 字符"/>
    <w:basedOn w:val="14"/>
    <w:link w:val="10"/>
    <w:qFormat/>
    <w:uiPriority w:val="0"/>
    <w:rPr>
      <w:rFonts w:ascii="Times New Roman" w:hAnsi="Times New Roman" w:eastAsia="宋体" w:cs="宋体"/>
      <w:kern w:val="2"/>
      <w:sz w:val="18"/>
      <w:szCs w:val="18"/>
    </w:rPr>
  </w:style>
  <w:style w:type="character" w:customStyle="1" w:styleId="17">
    <w:name w:val="页脚 字符"/>
    <w:basedOn w:val="14"/>
    <w:link w:val="9"/>
    <w:qFormat/>
    <w:uiPriority w:val="0"/>
    <w:rPr>
      <w:rFonts w:ascii="Times New Roman" w:hAnsi="Times New Roman" w:eastAsia="宋体" w:cs="宋体"/>
      <w:kern w:val="2"/>
      <w:sz w:val="18"/>
      <w:szCs w:val="18"/>
    </w:rPr>
  </w:style>
  <w:style w:type="character" w:customStyle="1" w:styleId="18">
    <w:name w:val="批注文字 字符"/>
    <w:basedOn w:val="14"/>
    <w:link w:val="6"/>
    <w:qFormat/>
    <w:uiPriority w:val="0"/>
    <w:rPr>
      <w:rFonts w:ascii="Times New Roman" w:hAnsi="Times New Roman" w:eastAsia="宋体" w:cs="宋体"/>
      <w:kern w:val="2"/>
      <w:sz w:val="21"/>
      <w:szCs w:val="24"/>
    </w:rPr>
  </w:style>
  <w:style w:type="character" w:customStyle="1" w:styleId="19">
    <w:name w:val="批注主题 字符"/>
    <w:basedOn w:val="18"/>
    <w:link w:val="12"/>
    <w:qFormat/>
    <w:uiPriority w:val="0"/>
    <w:rPr>
      <w:rFonts w:ascii="Times New Roman" w:hAnsi="Times New Roman" w:eastAsia="宋体" w:cs="宋体"/>
      <w:b/>
      <w:bCs/>
      <w:kern w:val="2"/>
      <w:sz w:val="21"/>
      <w:szCs w:val="24"/>
    </w:rPr>
  </w:style>
  <w:style w:type="paragraph" w:customStyle="1" w:styleId="20">
    <w:name w:val="修订1"/>
    <w:hidden/>
    <w:semiHidden/>
    <w:qFormat/>
    <w:uiPriority w:val="99"/>
    <w:rPr>
      <w:rFonts w:ascii="Times New Roman" w:hAnsi="Times New Roman" w:eastAsia="宋体" w:cs="宋体"/>
      <w:kern w:val="2"/>
      <w:sz w:val="21"/>
      <w:szCs w:val="24"/>
      <w:lang w:val="en-US" w:eastAsia="zh-CN" w:bidi="ar-SA"/>
    </w:rPr>
  </w:style>
  <w:style w:type="character" w:customStyle="1" w:styleId="21">
    <w:name w:val="批注框文本 字符"/>
    <w:basedOn w:val="14"/>
    <w:link w:val="8"/>
    <w:qFormat/>
    <w:uiPriority w:val="0"/>
    <w:rPr>
      <w:rFonts w:ascii="Times New Roman" w:hAnsi="Times New Roman" w:eastAsia="宋体" w:cs="宋体"/>
      <w:kern w:val="2"/>
      <w:sz w:val="18"/>
      <w:szCs w:val="18"/>
    </w:rPr>
  </w:style>
  <w:style w:type="character" w:customStyle="1" w:styleId="22">
    <w:name w:val="纯文本 字符1"/>
    <w:link w:val="7"/>
    <w:qFormat/>
    <w:uiPriority w:val="0"/>
    <w:rPr>
      <w:rFonts w:ascii="宋体" w:hAnsi="Courier New"/>
      <w:kern w:val="2"/>
      <w:sz w:val="21"/>
    </w:rPr>
  </w:style>
  <w:style w:type="character" w:customStyle="1" w:styleId="23">
    <w:name w:val="纯文本 字符"/>
    <w:basedOn w:val="14"/>
    <w:qFormat/>
    <w:uiPriority w:val="0"/>
    <w:rPr>
      <w:rFonts w:hAnsi="Courier New" w:cs="Courier New" w:asciiTheme="minorEastAsia"/>
      <w:kern w:val="2"/>
      <w:sz w:val="21"/>
      <w:szCs w:val="24"/>
    </w:rPr>
  </w:style>
  <w:style w:type="paragraph" w:customStyle="1" w:styleId="24">
    <w:name w:val="中等深浅网格 1 - 强调文字颜色 21"/>
    <w:basedOn w:val="1"/>
    <w:qFormat/>
    <w:uiPriority w:val="34"/>
    <w:pPr>
      <w:ind w:firstLine="420" w:firstLineChars="200"/>
    </w:pPr>
    <w:rPr>
      <w:rFonts w:ascii="Calibri" w:hAnsi="Calibri" w:cs="Times New Roman"/>
      <w:szCs w:val="22"/>
    </w:rPr>
  </w:style>
  <w:style w:type="paragraph" w:styleId="25">
    <w:name w:val="List Paragraph"/>
    <w:basedOn w:val="1"/>
    <w:qFormat/>
    <w:uiPriority w:val="34"/>
    <w:pPr>
      <w:ind w:firstLine="420" w:firstLineChars="200"/>
    </w:pPr>
    <w:rPr>
      <w:rFonts w:ascii="Calibri" w:hAnsi="Calibri" w:cs="Times New Roman"/>
      <w:szCs w:val="22"/>
    </w:rPr>
  </w:style>
  <w:style w:type="character" w:customStyle="1" w:styleId="26">
    <w:name w:val="文档结构图 字符"/>
    <w:basedOn w:val="14"/>
    <w:link w:val="5"/>
    <w:qFormat/>
    <w:uiPriority w:val="0"/>
    <w:rPr>
      <w:rFonts w:ascii="宋体" w:hAnsi="Times New Roman" w:eastAsia="宋体" w:cs="宋体"/>
      <w:kern w:val="2"/>
      <w:sz w:val="18"/>
      <w:szCs w:val="18"/>
    </w:rPr>
  </w:style>
  <w:style w:type="character" w:customStyle="1" w:styleId="27">
    <w:name w:val="NormalCharacter"/>
    <w:semiHidden/>
    <w:qFormat/>
    <w:uiPriority w:val="0"/>
  </w:style>
  <w:style w:type="paragraph" w:customStyle="1" w:styleId="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_Style 26"/>
    <w:basedOn w:val="1"/>
    <w:next w:val="25"/>
    <w:qFormat/>
    <w:uiPriority w:val="34"/>
    <w:pPr>
      <w:ind w:firstLine="420" w:firstLineChars="200"/>
    </w:pPr>
    <w:rPr>
      <w:rFonts w:cs="Times New Roman"/>
    </w:rPr>
  </w:style>
  <w:style w:type="character" w:customStyle="1" w:styleId="31">
    <w:name w:val="font31"/>
    <w:qFormat/>
    <w:uiPriority w:val="0"/>
    <w:rPr>
      <w:rFonts w:hint="eastAsia" w:ascii="宋体" w:hAnsi="宋体" w:eastAsia="宋体" w:cs="宋体"/>
      <w:color w:val="000000"/>
      <w:sz w:val="24"/>
      <w:szCs w:val="24"/>
      <w:u w:val="none"/>
    </w:rPr>
  </w:style>
  <w:style w:type="character" w:customStyle="1" w:styleId="32">
    <w:name w:val="font11"/>
    <w:qFormat/>
    <w:uiPriority w:val="0"/>
    <w:rPr>
      <w:rFonts w:hint="default" w:ascii="Times New Roman" w:hAnsi="Times New Roman" w:cs="Times New Roman"/>
      <w:color w:val="000000"/>
      <w:sz w:val="24"/>
      <w:szCs w:val="24"/>
      <w:u w:val="none"/>
    </w:rPr>
  </w:style>
  <w:style w:type="character" w:customStyle="1" w:styleId="33">
    <w:name w:val="标题 3 字符"/>
    <w:basedOn w:val="14"/>
    <w:semiHidden/>
    <w:qFormat/>
    <w:uiPriority w:val="0"/>
    <w:rPr>
      <w:rFonts w:ascii="Times New Roman" w:hAnsi="Times New Roman" w:eastAsia="宋体" w:cs="宋体"/>
      <w:b/>
      <w:bCs/>
      <w:kern w:val="2"/>
      <w:sz w:val="32"/>
      <w:szCs w:val="32"/>
    </w:rPr>
  </w:style>
  <w:style w:type="character" w:customStyle="1" w:styleId="34">
    <w:name w:val="标题 3 字符1"/>
    <w:link w:val="3"/>
    <w:qFormat/>
    <w:uiPriority w:val="0"/>
    <w:rPr>
      <w:rFonts w:ascii="Calibri" w:hAnsi="Calibri" w:eastAsia="宋体" w:cs="Times New Roman"/>
      <w:b/>
      <w:bCs/>
      <w:kern w:val="2"/>
      <w:sz w:val="28"/>
      <w:szCs w:val="32"/>
    </w:rPr>
  </w:style>
  <w:style w:type="paragraph" w:customStyle="1" w:styleId="35">
    <w:name w:val="列出段落1"/>
    <w:basedOn w:val="1"/>
    <w:qFormat/>
    <w:uiPriority w:val="34"/>
    <w:pPr>
      <w:ind w:firstLine="420" w:firstLineChars="200"/>
    </w:pPr>
    <w:rPr>
      <w:rFonts w:ascii="Calibri" w:hAnsi="Calibri" w:cs="Times New Roman"/>
    </w:rPr>
  </w:style>
  <w:style w:type="character" w:customStyle="1" w:styleId="36">
    <w:name w:val="font61"/>
    <w:basedOn w:val="14"/>
    <w:qFormat/>
    <w:uiPriority w:val="0"/>
    <w:rPr>
      <w:rFonts w:hint="default" w:ascii="幼圆" w:hAnsi="幼圆" w:eastAsia="幼圆" w:cs="幼圆"/>
      <w:color w:val="000000"/>
      <w:sz w:val="20"/>
      <w:szCs w:val="20"/>
      <w:u w:val="none"/>
    </w:rPr>
  </w:style>
  <w:style w:type="character" w:customStyle="1" w:styleId="37">
    <w:name w:val="font12"/>
    <w:qFormat/>
    <w:uiPriority w:val="0"/>
    <w:rPr>
      <w:rFonts w:hint="default" w:ascii="仿宋_GB2312" w:eastAsia="仿宋_GB2312" w:cs="仿宋_GB2312"/>
      <w:color w:val="000000"/>
      <w:sz w:val="24"/>
      <w:szCs w:val="24"/>
      <w:u w:val="none"/>
    </w:rPr>
  </w:style>
  <w:style w:type="character" w:customStyle="1" w:styleId="38">
    <w:name w:val="正文文本 字符"/>
    <w:basedOn w:val="14"/>
    <w:link w:val="2"/>
    <w:semiHidden/>
    <w:qFormat/>
    <w:uiPriority w:val="99"/>
    <w:rPr>
      <w:rFonts w:ascii="Times New Roman" w:hAnsi="Times New Roman" w:eastAsia="宋体" w:cs="Times New Roman"/>
      <w:kern w:val="2"/>
      <w:sz w:val="21"/>
      <w:szCs w:val="24"/>
    </w:rPr>
  </w:style>
  <w:style w:type="paragraph" w:customStyle="1" w:styleId="39">
    <w:name w:val="DAS正文"/>
    <w:basedOn w:val="1"/>
    <w:qFormat/>
    <w:uiPriority w:val="0"/>
    <w:pPr>
      <w:spacing w:line="360" w:lineRule="auto"/>
      <w:ind w:right="181" w:firstLine="480" w:firstLineChars="200"/>
    </w:pPr>
    <w:rPr>
      <w:rFonts w:ascii="Verdana" w:hAnsi="Verdana" w:eastAsia="等线"/>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B1F-772B-4C33-9B26-FBE03CCCECF2}">
  <ds:schemaRefs/>
</ds:datastoreItem>
</file>

<file path=docProps/app.xml><?xml version="1.0" encoding="utf-8"?>
<Properties xmlns="http://schemas.openxmlformats.org/officeDocument/2006/extended-properties" xmlns:vt="http://schemas.openxmlformats.org/officeDocument/2006/docPropsVTypes">
  <Template>Normal</Template>
  <Pages>7</Pages>
  <Words>5531</Words>
  <Characters>6455</Characters>
  <Lines>6</Lines>
  <Paragraphs>1</Paragraphs>
  <TotalTime>14</TotalTime>
  <ScaleCrop>false</ScaleCrop>
  <LinksUpToDate>false</LinksUpToDate>
  <CharactersWithSpaces>6678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2019-11-08T04:25:00Z</dcterms:created>
  <dc:creator>ghost</dc:creator>
  <cp:lastModifiedBy>十四.</cp:lastModifiedBy>
  <dcterms:modified xsi:type="dcterms:W3CDTF">2022-08-27T03:07:36Z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9AFEBB7ED82248AD84FE873F7DFBCFDA</vt:lpwstr>
  </property>
</Properties>
</file>