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cs="黑体"/>
          <w:snapToGrid w:val="0"/>
          <w:sz w:val="24"/>
        </w:rPr>
      </w:pPr>
      <w:r>
        <w:rPr>
          <w:rFonts w:hint="eastAsia" w:ascii="宋体" w:hAnsi="宋体" w:cs="黑体"/>
          <w:snapToGrid w:val="0"/>
          <w:sz w:val="24"/>
        </w:rPr>
        <w:t>公告附件</w:t>
      </w:r>
      <w:r>
        <w:rPr>
          <w:rFonts w:hint="eastAsia" w:ascii="宋体" w:hAnsi="宋体" w:cs="黑体"/>
          <w:snapToGrid w:val="0"/>
          <w:sz w:val="24"/>
          <w:lang w:val="en-US" w:eastAsia="zh-CN"/>
        </w:rPr>
        <w:t>9</w:t>
      </w:r>
      <w:r>
        <w:rPr>
          <w:rFonts w:hint="eastAsia" w:ascii="宋体" w:hAnsi="宋体" w:cs="黑体"/>
          <w:snapToGrid w:val="0"/>
          <w:sz w:val="24"/>
        </w:rPr>
        <w:t>：</w:t>
      </w:r>
    </w:p>
    <w:tbl>
      <w:tblPr>
        <w:tblStyle w:val="13"/>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047"/>
        <w:gridCol w:w="213"/>
        <w:gridCol w:w="2338"/>
        <w:gridCol w:w="2251"/>
        <w:gridCol w:w="327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bookmarkStart w:id="0" w:name="_Hlk98601959"/>
            <w:bookmarkStart w:id="1" w:name="_Hlk50096648"/>
            <w:r>
              <w:rPr>
                <w:rFonts w:hint="eastAsia" w:ascii="宋体" w:hAnsi="宋体" w:eastAsia="宋体" w:cs="宋体"/>
                <w:color w:val="auto"/>
                <w:sz w:val="24"/>
                <w:szCs w:val="24"/>
              </w:rPr>
              <w:t>项目编号</w:t>
            </w:r>
          </w:p>
        </w:tc>
        <w:tc>
          <w:tcPr>
            <w:tcW w:w="7875" w:type="dxa"/>
            <w:gridSpan w:val="4"/>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2022-JK15-W12</w:t>
            </w:r>
            <w:r>
              <w:rPr>
                <w:rFonts w:hint="eastAsia" w:ascii="宋体" w:hAnsi="宋体" w:eastAsia="宋体" w:cs="宋体"/>
                <w:color w:val="auto"/>
                <w:sz w:val="24"/>
                <w:szCs w:val="24"/>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7875" w:type="dxa"/>
            <w:gridSpan w:val="4"/>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临床技能培训中心管理系统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2338"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highlight w:val="none"/>
                <w:lang w:val="en-US" w:eastAsia="zh-CN"/>
              </w:rPr>
              <w:t>22</w:t>
            </w:r>
            <w:r>
              <w:rPr>
                <w:rFonts w:hint="eastAsia" w:ascii="宋体" w:hAnsi="宋体" w:cs="宋体"/>
                <w:color w:val="auto"/>
                <w:sz w:val="24"/>
                <w:szCs w:val="24"/>
                <w:highlight w:val="none"/>
                <w:lang w:val="en-US" w:eastAsia="zh-CN"/>
              </w:rPr>
              <w:t>套</w:t>
            </w:r>
          </w:p>
        </w:tc>
        <w:tc>
          <w:tcPr>
            <w:tcW w:w="5537"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sym w:font="Wingdings" w:char="00FE"/>
            </w:r>
            <w:r>
              <w:rPr>
                <w:rFonts w:hint="eastAsia" w:ascii="宋体" w:hAnsi="宋体" w:eastAsia="宋体" w:cs="宋体"/>
                <w:color w:val="auto"/>
                <w:sz w:val="24"/>
                <w:szCs w:val="24"/>
              </w:rPr>
              <w:t>国产   □进口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最高投标限价</w:t>
            </w:r>
          </w:p>
        </w:tc>
        <w:tc>
          <w:tcPr>
            <w:tcW w:w="7875" w:type="dxa"/>
            <w:gridSpan w:val="4"/>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343.3</w:t>
            </w:r>
            <w:r>
              <w:rPr>
                <w:rFonts w:hint="eastAsia" w:ascii="宋体" w:hAnsi="宋体" w:eastAsia="宋体" w:cs="宋体"/>
                <w:color w:val="auto"/>
                <w:sz w:val="24"/>
                <w:szCs w:val="24"/>
              </w:rPr>
              <w:t>万元</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7"/>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7" w:type="dxa"/>
            <w:gridSpan w:val="7"/>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Cs/>
                <w:color w:val="auto"/>
                <w:sz w:val="24"/>
                <w:szCs w:val="24"/>
              </w:rPr>
            </w:pPr>
            <w:r>
              <w:rPr>
                <w:rFonts w:hint="eastAsia" w:ascii="宋体" w:hAnsi="宋体" w:eastAsia="宋体" w:cs="宋体"/>
                <w:color w:val="auto"/>
                <w:sz w:val="24"/>
                <w:szCs w:val="24"/>
              </w:rPr>
              <w:t>本项目用信息化手段配合教学模型、教学资源、考核评价、统计等全系列的统筹管理，建设一个完整的临床技能培训解决方案形成由可以实现高效、有序、客观的医学模拟教学管理。通过此次建设中心可实现OSCE考站（8个）、资源管理、课程管理、实验室开放管理、教学绩效管理、电子考试、随时练、随时考评、用户管理、全局总控监视等功能。对于提升临床技能培训中心的智能化和科学化管理水平有积极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7"/>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序号</w:t>
            </w:r>
          </w:p>
        </w:tc>
        <w:tc>
          <w:tcPr>
            <w:tcW w:w="4802" w:type="dxa"/>
            <w:gridSpan w:val="3"/>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描  述</w:t>
            </w:r>
          </w:p>
        </w:tc>
        <w:tc>
          <w:tcPr>
            <w:tcW w:w="3286" w:type="dxa"/>
            <w:gridSpan w:val="2"/>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pStyle w:val="2"/>
              <w:keepNext w:val="0"/>
              <w:keepLines w:val="0"/>
              <w:pageBreakBefore w:val="0"/>
              <w:kinsoku/>
              <w:wordWrap/>
              <w:overflowPunct/>
              <w:topLinePunct w:val="0"/>
              <w:autoSpaceDE/>
              <w:autoSpaceDN/>
              <w:bidi w:val="0"/>
              <w:spacing w:after="0" w:line="240" w:lineRule="auto"/>
              <w:jc w:val="center"/>
              <w:textAlignment w:val="auto"/>
              <w:rPr>
                <w:rFonts w:hint="eastAsia" w:ascii="宋体" w:hAnsi="宋体" w:eastAsia="宋体" w:cs="宋体"/>
                <w:color w:val="auto"/>
                <w:kern w:val="0"/>
                <w:sz w:val="24"/>
                <w:szCs w:val="24"/>
              </w:rPr>
            </w:pPr>
            <w:r>
              <w:rPr>
                <w:rFonts w:hint="eastAsia" w:ascii="宋体" w:hAnsi="宋体" w:eastAsia="宋体" w:cs="宋体"/>
                <w:snapToGrid w:val="0"/>
                <w:color w:val="auto"/>
                <w:sz w:val="24"/>
                <w:szCs w:val="24"/>
                <w:lang w:eastAsia="zh-CN"/>
              </w:rPr>
              <w:t>1</w:t>
            </w:r>
          </w:p>
        </w:tc>
        <w:tc>
          <w:tcPr>
            <w:tcW w:w="4802" w:type="dxa"/>
            <w:gridSpan w:val="3"/>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数据服务器</w:t>
            </w:r>
            <w:r>
              <w:rPr>
                <w:rFonts w:hint="eastAsia" w:ascii="宋体" w:hAnsi="宋体" w:eastAsia="宋体" w:cs="宋体"/>
                <w:color w:val="auto"/>
                <w:sz w:val="24"/>
                <w:szCs w:val="24"/>
              </w:rPr>
              <w:t>（核心产品）</w:t>
            </w:r>
          </w:p>
        </w:tc>
        <w:tc>
          <w:tcPr>
            <w:tcW w:w="3286" w:type="dxa"/>
            <w:gridSpan w:val="2"/>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4802" w:type="dxa"/>
            <w:gridSpan w:val="3"/>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服务器网络机柜</w:t>
            </w:r>
          </w:p>
        </w:tc>
        <w:tc>
          <w:tcPr>
            <w:tcW w:w="3286"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3</w:t>
            </w:r>
          </w:p>
        </w:tc>
        <w:tc>
          <w:tcPr>
            <w:tcW w:w="4802" w:type="dxa"/>
            <w:gridSpan w:val="3"/>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POE交换机</w:t>
            </w:r>
          </w:p>
        </w:tc>
        <w:tc>
          <w:tcPr>
            <w:tcW w:w="3286"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480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无线AP</w:t>
            </w:r>
          </w:p>
        </w:tc>
        <w:tc>
          <w:tcPr>
            <w:tcW w:w="3286"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480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400万像素摄像机</w:t>
            </w:r>
          </w:p>
        </w:tc>
        <w:tc>
          <w:tcPr>
            <w:tcW w:w="3286"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480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操作终端</w:t>
            </w:r>
          </w:p>
        </w:tc>
        <w:tc>
          <w:tcPr>
            <w:tcW w:w="3286"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480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广播主机</w:t>
            </w:r>
          </w:p>
        </w:tc>
        <w:tc>
          <w:tcPr>
            <w:tcW w:w="3286"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480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网络硬盘录像机</w:t>
            </w:r>
          </w:p>
        </w:tc>
        <w:tc>
          <w:tcPr>
            <w:tcW w:w="3286"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480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55寸液晶显示屏</w:t>
            </w:r>
          </w:p>
        </w:tc>
        <w:tc>
          <w:tcPr>
            <w:tcW w:w="3286"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480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人面识别门禁一体机</w:t>
            </w:r>
          </w:p>
        </w:tc>
        <w:tc>
          <w:tcPr>
            <w:tcW w:w="3286"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480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86寸一体机</w:t>
            </w:r>
          </w:p>
        </w:tc>
        <w:tc>
          <w:tcPr>
            <w:tcW w:w="3286"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w:t>
            </w:r>
          </w:p>
        </w:tc>
        <w:tc>
          <w:tcPr>
            <w:tcW w:w="480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考生信息显示屏</w:t>
            </w:r>
          </w:p>
        </w:tc>
        <w:tc>
          <w:tcPr>
            <w:tcW w:w="3286"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w:t>
            </w:r>
          </w:p>
        </w:tc>
        <w:tc>
          <w:tcPr>
            <w:tcW w:w="480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OSCE考站软件系统（核心产品）</w:t>
            </w:r>
          </w:p>
        </w:tc>
        <w:tc>
          <w:tcPr>
            <w:tcW w:w="3286"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w:t>
            </w:r>
          </w:p>
        </w:tc>
        <w:tc>
          <w:tcPr>
            <w:tcW w:w="480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资源管理软件系统</w:t>
            </w:r>
            <w:r>
              <w:rPr>
                <w:rFonts w:hint="eastAsia" w:ascii="宋体" w:hAnsi="宋体" w:eastAsia="宋体" w:cs="宋体"/>
                <w:color w:val="auto"/>
                <w:sz w:val="24"/>
                <w:szCs w:val="24"/>
              </w:rPr>
              <w:t>（核心产品）</w:t>
            </w:r>
          </w:p>
        </w:tc>
        <w:tc>
          <w:tcPr>
            <w:tcW w:w="3286"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w:t>
            </w:r>
          </w:p>
        </w:tc>
        <w:tc>
          <w:tcPr>
            <w:tcW w:w="480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课程管理软件系统</w:t>
            </w:r>
            <w:r>
              <w:rPr>
                <w:rFonts w:hint="eastAsia" w:ascii="宋体" w:hAnsi="宋体" w:eastAsia="宋体" w:cs="宋体"/>
                <w:color w:val="auto"/>
                <w:sz w:val="24"/>
                <w:szCs w:val="24"/>
              </w:rPr>
              <w:t>（核心产品）</w:t>
            </w:r>
          </w:p>
        </w:tc>
        <w:tc>
          <w:tcPr>
            <w:tcW w:w="3286"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w:t>
            </w:r>
          </w:p>
        </w:tc>
        <w:tc>
          <w:tcPr>
            <w:tcW w:w="480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实验室开放软件系统</w:t>
            </w:r>
            <w:r>
              <w:rPr>
                <w:rFonts w:hint="eastAsia" w:ascii="宋体" w:hAnsi="宋体" w:eastAsia="宋体" w:cs="宋体"/>
                <w:color w:val="auto"/>
                <w:sz w:val="24"/>
                <w:szCs w:val="24"/>
              </w:rPr>
              <w:t>（核心产品）</w:t>
            </w:r>
          </w:p>
        </w:tc>
        <w:tc>
          <w:tcPr>
            <w:tcW w:w="3286"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17</w:t>
            </w:r>
          </w:p>
        </w:tc>
        <w:tc>
          <w:tcPr>
            <w:tcW w:w="480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教学绩效管理软件系统</w:t>
            </w:r>
            <w:r>
              <w:rPr>
                <w:rFonts w:hint="eastAsia" w:ascii="宋体" w:hAnsi="宋体" w:eastAsia="宋体" w:cs="宋体"/>
                <w:color w:val="auto"/>
                <w:sz w:val="24"/>
                <w:szCs w:val="24"/>
              </w:rPr>
              <w:t>（核心产品）</w:t>
            </w:r>
          </w:p>
        </w:tc>
        <w:tc>
          <w:tcPr>
            <w:tcW w:w="3286"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18</w:t>
            </w:r>
          </w:p>
        </w:tc>
        <w:tc>
          <w:tcPr>
            <w:tcW w:w="480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电子考试软件系统</w:t>
            </w:r>
            <w:r>
              <w:rPr>
                <w:rFonts w:hint="eastAsia" w:ascii="宋体" w:hAnsi="宋体" w:eastAsia="宋体" w:cs="宋体"/>
                <w:color w:val="auto"/>
                <w:sz w:val="24"/>
                <w:szCs w:val="24"/>
              </w:rPr>
              <w:t>（核心产品）</w:t>
            </w:r>
          </w:p>
        </w:tc>
        <w:tc>
          <w:tcPr>
            <w:tcW w:w="3286"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19</w:t>
            </w:r>
          </w:p>
        </w:tc>
        <w:tc>
          <w:tcPr>
            <w:tcW w:w="480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随时练软件系统</w:t>
            </w:r>
            <w:r>
              <w:rPr>
                <w:rFonts w:hint="eastAsia" w:ascii="宋体" w:hAnsi="宋体" w:eastAsia="宋体" w:cs="宋体"/>
                <w:color w:val="auto"/>
                <w:sz w:val="24"/>
                <w:szCs w:val="24"/>
              </w:rPr>
              <w:t>（核心产品）</w:t>
            </w:r>
          </w:p>
        </w:tc>
        <w:tc>
          <w:tcPr>
            <w:tcW w:w="3286"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w:t>
            </w:r>
          </w:p>
        </w:tc>
        <w:tc>
          <w:tcPr>
            <w:tcW w:w="480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随时考评软件系统</w:t>
            </w:r>
            <w:r>
              <w:rPr>
                <w:rFonts w:hint="eastAsia" w:ascii="宋体" w:hAnsi="宋体" w:eastAsia="宋体" w:cs="宋体"/>
                <w:color w:val="auto"/>
                <w:sz w:val="24"/>
                <w:szCs w:val="24"/>
              </w:rPr>
              <w:t>（核心产品）</w:t>
            </w:r>
          </w:p>
        </w:tc>
        <w:tc>
          <w:tcPr>
            <w:tcW w:w="3286"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w:t>
            </w:r>
          </w:p>
        </w:tc>
        <w:tc>
          <w:tcPr>
            <w:tcW w:w="480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用户管理软件系统</w:t>
            </w:r>
          </w:p>
        </w:tc>
        <w:tc>
          <w:tcPr>
            <w:tcW w:w="3286"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w:t>
            </w:r>
          </w:p>
        </w:tc>
        <w:tc>
          <w:tcPr>
            <w:tcW w:w="480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全局总控监视软件系统</w:t>
            </w:r>
          </w:p>
        </w:tc>
        <w:tc>
          <w:tcPr>
            <w:tcW w:w="3286"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6"/>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指标名称</w:t>
            </w:r>
          </w:p>
        </w:tc>
        <w:tc>
          <w:tcPr>
            <w:tcW w:w="7866"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260" w:type="dxa"/>
            <w:gridSpan w:val="2"/>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数据服务器</w:t>
            </w:r>
          </w:p>
        </w:tc>
        <w:tc>
          <w:tcPr>
            <w:tcW w:w="7866" w:type="dxa"/>
            <w:gridSpan w:val="3"/>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1）2个4208CPU；</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2）≥两个千兆光口；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3）内存≥64GB、硬盘≥32TB（单块硬盘容量不低于4TB，硬盘大于等于4块）SATA硬盘,可扩展，RAID 5；</w:t>
            </w:r>
          </w:p>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4）双电源模块；</w:t>
            </w:r>
          </w:p>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snapToGrid w:val="0"/>
                <w:color w:val="auto"/>
                <w:sz w:val="24"/>
                <w:szCs w:val="24"/>
                <w:lang w:eastAsia="zh-CN"/>
              </w:rPr>
              <w:t>数据备份，原始资料归招标方保存。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260" w:type="dxa"/>
            <w:gridSpan w:val="2"/>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服务器网络机柜</w:t>
            </w:r>
          </w:p>
        </w:tc>
        <w:tc>
          <w:tcPr>
            <w:tcW w:w="7866" w:type="dxa"/>
            <w:gridSpan w:val="3"/>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1）标准符合：ANSI/EIA RS-310-DIEC297-2DIN41491</w:t>
            </w:r>
            <w:r>
              <w:rPr>
                <w:rFonts w:hint="eastAsia" w:ascii="宋体" w:hAnsi="宋体" w:cs="宋体"/>
                <w:color w:val="auto"/>
                <w:sz w:val="24"/>
                <w:szCs w:val="24"/>
                <w:lang w:eastAsia="zh-CN"/>
              </w:rPr>
              <w:t>；</w:t>
            </w:r>
            <w:r>
              <w:rPr>
                <w:rFonts w:hint="eastAsia" w:ascii="宋体" w:hAnsi="宋体" w:eastAsia="宋体" w:cs="宋体"/>
                <w:color w:val="auto"/>
                <w:sz w:val="24"/>
                <w:szCs w:val="24"/>
              </w:rPr>
              <w:t>PART1DIN41494</w:t>
            </w:r>
            <w:r>
              <w:rPr>
                <w:rFonts w:hint="eastAsia" w:ascii="宋体" w:hAnsi="宋体" w:cs="宋体"/>
                <w:color w:val="auto"/>
                <w:sz w:val="24"/>
                <w:szCs w:val="24"/>
                <w:lang w:eastAsia="zh-CN"/>
              </w:rPr>
              <w:t>；</w:t>
            </w:r>
            <w:r>
              <w:rPr>
                <w:rFonts w:hint="eastAsia" w:ascii="宋体" w:hAnsi="宋体" w:eastAsia="宋体" w:cs="宋体"/>
                <w:color w:val="auto"/>
                <w:sz w:val="24"/>
                <w:szCs w:val="24"/>
              </w:rPr>
              <w:t>PART7、GB/T3047.2-92标准；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2）至少可兼容ETSI标准；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3）使用六类非屏蔽网线，线径≥0.57mm无氧铜芯；</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4）其他参照国家执行标准。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260" w:type="dxa"/>
            <w:gridSpan w:val="2"/>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POE交换机</w:t>
            </w:r>
          </w:p>
        </w:tc>
        <w:tc>
          <w:tcPr>
            <w:tcW w:w="7866" w:type="dxa"/>
            <w:gridSpan w:val="3"/>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1）包转发率51/126Mpps；</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★2）交换容量336Gbps/3.36Tbps；</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3）固定端口24个千兆电口、4个千兆SFP光口；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 支持视频监控、VLAN隔离、标准交换三种工作模式；                                              5) 支持IEEE802.3X全双工流控与Backpressure半双工流控 ；                                       6) 支持端口自动翻转（Auto MDI/MDIX）功能；</w:t>
            </w:r>
          </w:p>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7) 所有端口均具备线速转发能力。</w:t>
            </w:r>
          </w:p>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kern w:val="2"/>
                <w:sz w:val="24"/>
                <w:szCs w:val="24"/>
                <w:lang w:eastAsia="zh-CN"/>
              </w:rPr>
            </w:pPr>
            <w:r>
              <w:rPr>
                <w:rFonts w:hint="eastAsia" w:ascii="宋体" w:hAnsi="宋体" w:eastAsia="宋体" w:cs="宋体"/>
                <w:snapToGrid w:val="0"/>
                <w:color w:val="auto"/>
                <w:sz w:val="24"/>
                <w:szCs w:val="24"/>
                <w:lang w:eastAsia="zh-CN"/>
              </w:rPr>
              <w:t>★8</w:t>
            </w:r>
            <w:r>
              <w:rPr>
                <w:rFonts w:hint="eastAsia" w:ascii="宋体" w:hAnsi="宋体" w:eastAsia="宋体" w:cs="宋体"/>
                <w:bCs/>
                <w:snapToGrid w:val="0"/>
                <w:color w:val="auto"/>
                <w:sz w:val="24"/>
                <w:szCs w:val="24"/>
                <w:lang w:eastAsia="zh-CN"/>
              </w:rPr>
              <w:t>)</w:t>
            </w:r>
            <w:r>
              <w:rPr>
                <w:rFonts w:hint="eastAsia" w:ascii="宋体" w:hAnsi="宋体" w:eastAsia="宋体" w:cs="宋体"/>
                <w:color w:val="auto"/>
                <w:kern w:val="2"/>
                <w:sz w:val="24"/>
                <w:szCs w:val="24"/>
                <w:lang w:eastAsia="zh-CN"/>
              </w:rPr>
              <w:t>支持通过手机APP和管理平台，查看设备状态和端口速率；</w:t>
            </w:r>
          </w:p>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bCs/>
                <w:snapToGrid w:val="0"/>
                <w:color w:val="auto"/>
                <w:sz w:val="24"/>
                <w:szCs w:val="24"/>
                <w:lang w:eastAsia="zh-CN"/>
              </w:rPr>
              <w:t>9)</w:t>
            </w:r>
            <w:r>
              <w:rPr>
                <w:rFonts w:hint="eastAsia" w:ascii="宋体" w:hAnsi="宋体" w:eastAsia="宋体" w:cs="宋体"/>
                <w:color w:val="auto"/>
                <w:kern w:val="2"/>
                <w:sz w:val="24"/>
                <w:szCs w:val="24"/>
                <w:lang w:eastAsia="zh-CN"/>
              </w:rPr>
              <w:t>远程修改端口配置和VLAN配置。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无线AP</w:t>
            </w:r>
          </w:p>
        </w:tc>
        <w:tc>
          <w:tcPr>
            <w:tcW w:w="7866" w:type="dxa"/>
            <w:gridSpan w:val="3"/>
            <w:vAlign w:val="center"/>
          </w:tcPr>
          <w:p>
            <w:pPr>
              <w:pStyle w:val="2"/>
              <w:keepNext w:val="0"/>
              <w:keepLines w:val="0"/>
              <w:pageBreakBefore w:val="0"/>
              <w:numPr>
                <w:ilvl w:val="0"/>
                <w:numId w:val="2"/>
              </w:numPr>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吸顶式AP，包含安装所需全部耗材；</w:t>
            </w:r>
          </w:p>
          <w:p>
            <w:pPr>
              <w:keepNext w:val="0"/>
              <w:keepLines w:val="0"/>
              <w:pageBreakBefore w:val="0"/>
              <w:numPr>
                <w:ilvl w:val="0"/>
                <w:numId w:val="3"/>
              </w:numPr>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尺寸（宽 x 深 x 高）200mm×200mm×47mm；</w:t>
            </w:r>
          </w:p>
          <w:p>
            <w:pPr>
              <w:keepNext w:val="0"/>
              <w:keepLines w:val="0"/>
              <w:pageBreakBefore w:val="0"/>
              <w:numPr>
                <w:ilvl w:val="0"/>
                <w:numId w:val="3"/>
              </w:numPr>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3）电源输入DC：12V±10%；</w:t>
            </w:r>
          </w:p>
          <w:p>
            <w:pPr>
              <w:keepNext w:val="0"/>
              <w:keepLines w:val="0"/>
              <w:pageBreakBefore w:val="0"/>
              <w:numPr>
                <w:ilvl w:val="0"/>
                <w:numId w:val="3"/>
              </w:numPr>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4）POE供电：满足802.3at以太网供电标准；</w:t>
            </w:r>
          </w:p>
          <w:p>
            <w:pPr>
              <w:keepNext w:val="0"/>
              <w:keepLines w:val="0"/>
              <w:pageBreakBefore w:val="0"/>
              <w:numPr>
                <w:ilvl w:val="0"/>
                <w:numId w:val="3"/>
              </w:numPr>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5）最大功耗≤15.8W（不含USB和IOT）；</w:t>
            </w:r>
          </w:p>
          <w:p>
            <w:pPr>
              <w:keepNext w:val="0"/>
              <w:keepLines w:val="0"/>
              <w:pageBreakBefore w:val="0"/>
              <w:numPr>
                <w:ilvl w:val="0"/>
                <w:numId w:val="3"/>
              </w:numPr>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6）天线类型 ：内置智能天线；</w:t>
            </w:r>
          </w:p>
          <w:p>
            <w:pPr>
              <w:keepNext w:val="0"/>
              <w:keepLines w:val="0"/>
              <w:pageBreakBefore w:val="0"/>
              <w:numPr>
                <w:ilvl w:val="0"/>
                <w:numId w:val="3"/>
              </w:numPr>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7）可同时在线的用户数量：≥512；</w:t>
            </w:r>
          </w:p>
          <w:p>
            <w:pPr>
              <w:keepNext w:val="0"/>
              <w:keepLines w:val="0"/>
              <w:pageBreakBefore w:val="0"/>
              <w:numPr>
                <w:ilvl w:val="0"/>
                <w:numId w:val="3"/>
              </w:numPr>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8）最高速率：≥1.775 Gbps；</w:t>
            </w:r>
          </w:p>
          <w:p>
            <w:pPr>
              <w:keepNext w:val="0"/>
              <w:keepLines w:val="0"/>
              <w:pageBreakBefore w:val="0"/>
              <w:numPr>
                <w:ilvl w:val="0"/>
                <w:numId w:val="4"/>
              </w:numPr>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频率范围双频支持2.4G和5G；</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10）配套相应的AP管理设备。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400万像素摄像机</w:t>
            </w:r>
          </w:p>
        </w:tc>
        <w:tc>
          <w:tcPr>
            <w:tcW w:w="7866" w:type="dxa"/>
            <w:gridSpan w:val="3"/>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1）图像传感器: 1/3”progressive  scan  CMOS；</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2）最低照度:彩色：0.05Lux @ (F1.5，AGC ON)；</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3）黑白：0.01Lux @ (F1.5，AGC ON)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4）分辨率及帧率:主码流 50Hz:25fps (2560x1440)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5）60Hz: 30fps(2560x1440)；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cs="宋体"/>
                <w:color w:val="auto"/>
                <w:sz w:val="24"/>
                <w:szCs w:val="24"/>
                <w:lang w:eastAsia="zh-CN"/>
              </w:rPr>
              <w:t>）</w:t>
            </w:r>
            <w:r>
              <w:rPr>
                <w:rFonts w:hint="eastAsia" w:ascii="宋体" w:hAnsi="宋体" w:eastAsia="宋体" w:cs="宋体"/>
                <w:color w:val="auto"/>
                <w:sz w:val="24"/>
                <w:szCs w:val="24"/>
              </w:rPr>
              <w:t>视频压缩:H.265/H.264/MJPEG；H.264支持Baseline Profile/Main Profile/High Profile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7）焦距:2.8-12mm，4倍光学变倍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 水平视角:96.7-31.6度(广角-望远)；</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  Smart图像增强:120dB超宽动态、透雾、强光抑制、电子防抖；</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 水平及垂直范围:水平350°监控无死角；垂直0°－90°。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操作终端</w:t>
            </w:r>
          </w:p>
        </w:tc>
        <w:tc>
          <w:tcPr>
            <w:tcW w:w="7866" w:type="dxa"/>
            <w:gridSpan w:val="3"/>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1）屏幕尺寸 ≥10.8英寸；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2）影音娱乐平板电脑8GB+64GB WiFi；</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3）操作系统 Android 9.0；</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4）处理器 ：八核；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5）系统内存 8GB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6）硬盘：64G；</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7）屏幕分辨率 2560*1600；</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8）屏幕比例 16:10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9）前置摄像头 800w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10）分辨率：超高清屏（2K/3K/4K）。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广播主机</w:t>
            </w:r>
          </w:p>
        </w:tc>
        <w:tc>
          <w:tcPr>
            <w:tcW w:w="7866" w:type="dxa"/>
            <w:gridSpan w:val="3"/>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1）≥15英寸触摸屏：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2）TFT262144 真彩色；</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3）1024*768分辨率液晶 ，触摸屏，可使用USB键盘和USB鼠标；</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4）CPU：Intel 双核两线程，1.8GHz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5）硬盘容量：128G SSD 固态硬盘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6）网卡：Realtek RTL8103EL，1000M；</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7）标准接口:1×3.5监听；1×PS/2接口；USB接口；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8）系统音频信号信噪比：LINE:70dB；MIC:60dB；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9）系统音频信失真度：1KHz&lt;0.5%；频率响应：≥50Hz—15KHz；</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10）系统音频信号标准输入电平：LINE:300mV；MIC:5mV；</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11）系统外部音频信号输入接口：2路LINE、1路MIC；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12）系统支持： Windows 2003server，具有一路短路触发开机运行接口，用于定时驱动开机运行，实现无人值守功能；</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13）</w:t>
            </w:r>
            <w:r>
              <w:rPr>
                <w:rFonts w:hint="eastAsia" w:ascii="宋体" w:hAnsi="宋体" w:eastAsia="宋体" w:cs="宋体"/>
                <w:color w:val="auto"/>
                <w:sz w:val="24"/>
                <w:szCs w:val="24"/>
              </w:rPr>
              <w:t>内置6组工业异步传输接口，内置4组通用串行总线，最高480M传输速率；输入电源：～220V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网络硬盘录像机</w:t>
            </w:r>
          </w:p>
        </w:tc>
        <w:tc>
          <w:tcPr>
            <w:tcW w:w="7866" w:type="dxa"/>
            <w:gridSpan w:val="3"/>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1）2U标准机架式；</w:t>
            </w:r>
            <w:r>
              <w:rPr>
                <w:rFonts w:hint="eastAsia" w:ascii="宋体" w:hAnsi="宋体" w:eastAsia="宋体" w:cs="宋体"/>
                <w:color w:val="auto"/>
                <w:sz w:val="24"/>
                <w:szCs w:val="24"/>
              </w:rPr>
              <w:cr/>
            </w:r>
            <w:r>
              <w:rPr>
                <w:rFonts w:hint="eastAsia" w:ascii="宋体" w:hAnsi="宋体" w:eastAsia="宋体" w:cs="宋体"/>
                <w:color w:val="auto"/>
                <w:sz w:val="24"/>
                <w:szCs w:val="24"/>
              </w:rPr>
              <w:t>2）2个HDMI接口，2个VGA,HDMI+VGA组内同源；</w:t>
            </w:r>
            <w:r>
              <w:rPr>
                <w:rFonts w:hint="eastAsia" w:ascii="宋体" w:hAnsi="宋体" w:eastAsia="宋体" w:cs="宋体"/>
                <w:color w:val="auto"/>
                <w:sz w:val="24"/>
                <w:szCs w:val="24"/>
              </w:rPr>
              <w:cr/>
            </w:r>
            <w:r>
              <w:rPr>
                <w:rFonts w:hint="eastAsia" w:ascii="宋体" w:hAnsi="宋体" w:eastAsia="宋体" w:cs="宋体"/>
                <w:color w:val="auto"/>
                <w:sz w:val="24"/>
                <w:szCs w:val="24"/>
              </w:rPr>
              <w:t>3）8盘位，6TB硬盘 ；</w:t>
            </w:r>
            <w:r>
              <w:rPr>
                <w:rFonts w:hint="eastAsia" w:ascii="宋体" w:hAnsi="宋体" w:eastAsia="宋体" w:cs="宋体"/>
                <w:color w:val="auto"/>
                <w:sz w:val="24"/>
                <w:szCs w:val="24"/>
              </w:rPr>
              <w:cr/>
            </w:r>
            <w:r>
              <w:rPr>
                <w:rFonts w:hint="eastAsia" w:ascii="宋体" w:hAnsi="宋体" w:eastAsia="宋体" w:cs="宋体"/>
                <w:color w:val="auto"/>
                <w:sz w:val="24"/>
                <w:szCs w:val="24"/>
              </w:rPr>
              <w:t>4）2个千兆网口；</w:t>
            </w:r>
            <w:r>
              <w:rPr>
                <w:rFonts w:hint="eastAsia" w:ascii="宋体" w:hAnsi="宋体" w:eastAsia="宋体" w:cs="宋体"/>
                <w:color w:val="auto"/>
                <w:sz w:val="24"/>
                <w:szCs w:val="24"/>
              </w:rPr>
              <w:cr/>
            </w:r>
            <w:r>
              <w:rPr>
                <w:rFonts w:hint="eastAsia" w:ascii="宋体" w:hAnsi="宋体" w:eastAsia="宋体" w:cs="宋体"/>
                <w:color w:val="auto"/>
                <w:sz w:val="24"/>
                <w:szCs w:val="24"/>
              </w:rPr>
              <w:t>5）2个USB2.0接口、1个USB3.0接口；</w:t>
            </w:r>
            <w:r>
              <w:rPr>
                <w:rFonts w:hint="eastAsia" w:ascii="宋体" w:hAnsi="宋体" w:eastAsia="宋体" w:cs="宋体"/>
                <w:color w:val="auto"/>
                <w:sz w:val="24"/>
                <w:szCs w:val="24"/>
              </w:rPr>
              <w:cr/>
            </w:r>
            <w:r>
              <w:rPr>
                <w:rFonts w:hint="eastAsia" w:ascii="宋体" w:hAnsi="宋体" w:eastAsia="宋体" w:cs="宋体"/>
                <w:color w:val="auto"/>
                <w:sz w:val="24"/>
                <w:szCs w:val="24"/>
              </w:rPr>
              <w:t>6）1个eSATA接口；</w:t>
            </w:r>
            <w:r>
              <w:rPr>
                <w:rFonts w:hint="eastAsia" w:ascii="宋体" w:hAnsi="宋体" w:eastAsia="宋体" w:cs="宋体"/>
                <w:color w:val="auto"/>
                <w:sz w:val="24"/>
                <w:szCs w:val="24"/>
              </w:rPr>
              <w:cr/>
            </w:r>
            <w:r>
              <w:rPr>
                <w:rFonts w:hint="eastAsia" w:ascii="宋体" w:hAnsi="宋体" w:eastAsia="宋体" w:cs="宋体"/>
                <w:color w:val="auto"/>
                <w:sz w:val="24"/>
                <w:szCs w:val="24"/>
              </w:rPr>
              <w:t>7）输入带宽：320M；</w:t>
            </w:r>
            <w:r>
              <w:rPr>
                <w:rFonts w:hint="eastAsia" w:ascii="宋体" w:hAnsi="宋体" w:eastAsia="宋体" w:cs="宋体"/>
                <w:color w:val="auto"/>
                <w:sz w:val="24"/>
                <w:szCs w:val="24"/>
              </w:rPr>
              <w:cr/>
            </w:r>
            <w:r>
              <w:rPr>
                <w:rFonts w:hint="eastAsia" w:ascii="宋体" w:hAnsi="宋体" w:eastAsia="宋体" w:cs="宋体"/>
                <w:color w:val="auto"/>
                <w:sz w:val="24"/>
                <w:szCs w:val="24"/>
              </w:rPr>
              <w:t>8）64路H.264、H.265混合接入；</w:t>
            </w:r>
            <w:r>
              <w:rPr>
                <w:rFonts w:hint="eastAsia" w:ascii="宋体" w:hAnsi="宋体" w:eastAsia="宋体" w:cs="宋体"/>
                <w:color w:val="auto"/>
                <w:sz w:val="24"/>
                <w:szCs w:val="24"/>
              </w:rPr>
              <w:cr/>
            </w:r>
            <w:r>
              <w:rPr>
                <w:rFonts w:hint="eastAsia" w:ascii="宋体" w:hAnsi="宋体" w:eastAsia="宋体" w:cs="宋体"/>
                <w:color w:val="auto"/>
                <w:sz w:val="24"/>
                <w:szCs w:val="24"/>
              </w:rPr>
              <w:t>9）最大支持8×1080P解码；</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10）支持H.265、H.264解码。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7"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55寸液晶显示屏</w:t>
            </w:r>
          </w:p>
        </w:tc>
        <w:tc>
          <w:tcPr>
            <w:tcW w:w="7866" w:type="dxa"/>
            <w:gridSpan w:val="3"/>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1）尺寸：55寸超窄边液晶拼接单元；</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2）亮度：500cd/m2；</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★3）显示模式：16：9 拼接缝隙：≤1.8mm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4）可视角度：178°；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5）分辨率：1920x1080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6）使用寿命：≥60000小时；</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★7）内置拼接控制器可实现图像拼接显示功能；</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8）拼接控制软件支持单屏、多屏信号调整；可灵活将多个屏幕拼接组合；可调整屏幕亮度、对比度、颜色等；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9）安装结构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前维护支架，支架采用双液压前维护支架；支架包边；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10）各种线材：</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至少包含HDMI线，镀金接口耐腐蚀不生锈，信号传输更稳定；多重屏蔽抗干扰：铝箔+麦拉+编织网三层屏蔽网，无闪屏、黑屏、水纹；</w:t>
            </w:r>
          </w:p>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snapToGrid w:val="0"/>
                <w:color w:val="auto"/>
                <w:sz w:val="24"/>
                <w:szCs w:val="24"/>
                <w:lang w:eastAsia="zh-CN"/>
              </w:rPr>
              <w:t>11）至少包含国标6孔插排、工业级电源线、R232控制线、USB转串口转接头等。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人面识别门禁一体机</w:t>
            </w: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snapToGrid w:val="0"/>
                <w:color w:val="auto"/>
                <w:sz w:val="24"/>
                <w:szCs w:val="24"/>
                <w:lang w:eastAsia="zh-CN"/>
              </w:rPr>
            </w:pPr>
            <w:r>
              <w:rPr>
                <w:rFonts w:hint="eastAsia" w:ascii="宋体" w:hAnsi="宋体" w:eastAsia="宋体" w:cs="宋体"/>
                <w:snapToGrid w:val="0"/>
                <w:color w:val="auto"/>
                <w:sz w:val="24"/>
                <w:szCs w:val="24"/>
                <w:lang w:eastAsia="zh-CN"/>
              </w:rPr>
              <w:t>1）采用≥7英寸LCD触摸显示屏，≥200万像素双目摄像头，面部识别距离大于2m，支持照片视频防假；</w:t>
            </w:r>
          </w:p>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snapToGrid w:val="0"/>
                <w:color w:val="auto"/>
                <w:sz w:val="24"/>
                <w:szCs w:val="24"/>
                <w:lang w:eastAsia="zh-CN"/>
              </w:rPr>
              <w:t>2）开门按钮≥280Kg单门磁力锁。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86寸一体机</w:t>
            </w:r>
          </w:p>
        </w:tc>
        <w:tc>
          <w:tcPr>
            <w:tcW w:w="7866"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1）采用红外触控及以上技术，显示尺寸≥86英寸；物理分辨率：≥3840 × 2160，整机屏幕与屏幕保护层零贴合技术，有效将单点、多点触摸精度≤3mm,支持≥10点触控，亮度≥300cd/ M2，对比度≥1200：1，最大可视角度≥178度；</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2）机身采用金属材质，交互黑板表面玻璃采用高强度钢化玻璃。使用国际通用标准的OPS插槽，一体化设计；</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3）产品具备抗振动、防跌落特性，整机环境适应性强，整体功能能稳定使用；</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4）产品具备Wifi、蓝牙功能及物理防蓝光功能；</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 产品需具备同一界面上多人多点触摸操作控制显示的信息内容并具有人性化的点击、互动、查询、放大缩小、旋转、翻页等互动展示功能，支持无线投屏功能。支持任何通道书写、截图、录屏等功能；</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6）产品需配备双系统Android 与 Windows，配备标配正版办公软件与办公系统，软件根据教学语言环境可设置中、英文切换，白板教学系统电脑配置内存≥16GB；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7）硬盘：≥256G SSD固态硬盘，CPU采用Intel第8代以上酷睿I7处理器或AMDR5---2700 以上配置，独立显卡GT1050,4G显存。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bCs/>
                <w:color w:val="auto"/>
                <w:sz w:val="24"/>
                <w:szCs w:val="24"/>
              </w:rPr>
            </w:pPr>
            <w:r>
              <w:rPr>
                <w:rFonts w:hint="eastAsia" w:ascii="宋体" w:hAnsi="宋体" w:eastAsia="宋体" w:cs="宋体"/>
                <w:color w:val="auto"/>
                <w:sz w:val="24"/>
                <w:szCs w:val="24"/>
              </w:rPr>
              <w:t>12</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考生信息显示屏</w:t>
            </w:r>
          </w:p>
        </w:tc>
        <w:tc>
          <w:tcPr>
            <w:tcW w:w="7866" w:type="dxa"/>
            <w:gridSpan w:val="3"/>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1）21.5英寸TFT显示屏</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2）分辨率≥1920*1080，屏幕比例16:9；</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3）显示颜色：8bitRGB，点间距：0.24795mm×0.24795mm；</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4）对比度：≤1000:1；</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 亮度：≥280cd/㎡,可视角度（水平/垂直）：≥178°/178°，</w:t>
            </w:r>
          </w:p>
          <w:p>
            <w:pPr>
              <w:keepNext w:val="0"/>
              <w:keepLines w:val="0"/>
              <w:pageBreakBefore w:val="0"/>
              <w:kinsoku/>
              <w:wordWrap/>
              <w:overflowPunct/>
              <w:topLinePunct w:val="0"/>
              <w:autoSpaceDE/>
              <w:autoSpaceDN/>
              <w:bidi w:val="0"/>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响应时间：≤14ms；</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6）前置宽动态、200万像素摄像头；</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7）支持ISO14443TypeA、TypeB刷卡签到功能；</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8）2路USB接口，支持外接鼠标、U盘等。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bCs/>
                <w:color w:val="auto"/>
                <w:sz w:val="24"/>
                <w:szCs w:val="24"/>
              </w:rPr>
            </w:pPr>
            <w:r>
              <w:rPr>
                <w:rFonts w:hint="eastAsia" w:ascii="宋体" w:hAnsi="宋体" w:eastAsia="宋体" w:cs="宋体"/>
                <w:color w:val="auto"/>
                <w:sz w:val="24"/>
                <w:szCs w:val="24"/>
              </w:rPr>
              <w:t>13</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bCs/>
                <w:color w:val="auto"/>
                <w:sz w:val="24"/>
                <w:szCs w:val="24"/>
              </w:rPr>
            </w:pPr>
            <w:r>
              <w:rPr>
                <w:rFonts w:hint="eastAsia" w:ascii="宋体" w:hAnsi="宋体" w:eastAsia="宋体" w:cs="宋体"/>
                <w:color w:val="auto"/>
                <w:sz w:val="24"/>
                <w:szCs w:val="24"/>
              </w:rPr>
              <w:t>OSCE考站软件系统</w:t>
            </w:r>
          </w:p>
        </w:tc>
        <w:tc>
          <w:tcPr>
            <w:tcW w:w="7866" w:type="dxa"/>
            <w:gridSpan w:val="3"/>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1）组织机构和用户管理：用户自定义创建组织机构，支持为不同角色分配不同功能权限。每个人员都可以生成专属二维码，实现快捷识别，快捷登录。支持导出考试准考证；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2）签到管理：扫条形码/二维码/身份证/人脸识别签到。</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随时查看签到进度，显示考试签到人数、已签离人数和未签离人数，也可导出签到考生列表、缺考考生列表、考试签离表；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★3）评分表和技能考题：系统自带评分表和技能考题≥5000个，支持3种以上评分表可导入系统；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4）编辑技能考题：编辑技能考题时，至少包含题干、任务、评分表和图片、音频附件等；</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★5）支持单站、多站、长短站等多种考核模式，满足住培考核中的考站和亚考站的关联设置，保证考生在亚考站内完成操作后再参与大考站之间的轮循中；</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6）智能引导：包括候考区、考站外和考站内等；</w:t>
            </w:r>
          </w:p>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7）成绩管控：支持评分结束后立即提交成绩，也支持评分后成绩暂存，多个成绩批量提交。具有离线评分功能，在网络突然中断情况下，依然可以进行评分，网络恢复后系统自动上传；</w:t>
            </w:r>
          </w:p>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8）评分系统：系统具有默认考生、评委语音提示内容，可根据考试需求编辑语音提示内容，设置多个倒计时提醒，支持自由编辑语音内容、PDF导出成绩单等；</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9）全局总控监视功能：支持大屏幕监控显示。一个全局总控支持≥16块大屏，共支持≥256路视频同时播放；系统支持多套布局的存储、调用，可完成快速布局转换；可通过拖拽完成摄像头在屏幕上的位置配置；</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10）支持云台控制；</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★11）每个房间配置拾音器支持实时对讲，总控可向所有房间或选定房间进行语音广播，查看所有房间及房间内音视频设备及考试状态。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资源管理软件系统</w:t>
            </w:r>
          </w:p>
        </w:tc>
        <w:tc>
          <w:tcPr>
            <w:tcW w:w="7866" w:type="dxa"/>
            <w:gridSpan w:val="3"/>
            <w:vAlign w:val="center"/>
          </w:tcPr>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1）管理员及实验员可对设备、器械、耗材、视音频设备（显示器、摄像头等）、房间等资源进行管理；可根据管理人员需求设置不同权限，各司其职；</w:t>
            </w:r>
          </w:p>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★2）可添加、编辑资源信息，进行借出、报损、报废、报失、回收、补货、设置到期归还提醒等功能，并可批量添加相同类型资源；</w:t>
            </w:r>
          </w:p>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3）系统可为每个资源自动生成唯一二维码，通过手持端扫描二维码，进行资源管理及追踪；</w:t>
            </w:r>
          </w:p>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★4）通过WEB端表格导入和手持端扫码两种方式可快捷录入实训室设备；</w:t>
            </w:r>
          </w:p>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5）可统计资源使用详情，并按照类型、个体查看统计结果，支持生成统计图，导出统计图的功能；</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w:t>
            </w:r>
            <w:r>
              <w:rPr>
                <w:rFonts w:hint="eastAsia" w:ascii="宋体" w:hAnsi="宋体" w:eastAsia="宋体" w:cs="宋体"/>
                <w:color w:val="auto"/>
                <w:sz w:val="24"/>
                <w:szCs w:val="24"/>
              </w:rPr>
              <w:t>6）手持端可搜索资源，可查看资源当前位置及操作日志，并可进行报损、报废、报失、回收、盘点等操作。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课程管理软件系统</w:t>
            </w:r>
          </w:p>
        </w:tc>
        <w:tc>
          <w:tcPr>
            <w:tcW w:w="7866" w:type="dxa"/>
            <w:gridSpan w:val="3"/>
            <w:vAlign w:val="center"/>
          </w:tcPr>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1）支持智能化课程排课功能，可进行课程预约和审批；</w:t>
            </w:r>
          </w:p>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快速排课可以通过填写较少的必要信息即实现课程的创建；</w:t>
            </w:r>
          </w:p>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排课过程中自动检测资源冲突（设备、器械、耗材、人员、房间冲突等)，可对已选择资源进行限时锁定；</w:t>
            </w:r>
          </w:p>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教师可选择课程模板导入到系统中，也可自行编辑课程；</w:t>
            </w:r>
          </w:p>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＃2）教师可上传课程相关资料信息，公布给学员，并根据课程需要任意增加场景数，编辑时间地图，实现课程的灵活设置；学员登录系统后可以利用资料自主学习。</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★3）教师可编写课程教案，同步到手持端离线，实现无纸化课程。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实验室开放软件系统</w:t>
            </w:r>
          </w:p>
        </w:tc>
        <w:tc>
          <w:tcPr>
            <w:tcW w:w="7866" w:type="dxa"/>
            <w:gridSpan w:val="3"/>
            <w:vAlign w:val="center"/>
          </w:tcPr>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★1）可进行开放训练室预约和审批，并支持非连续时间段和微信预约功能；</w:t>
            </w:r>
          </w:p>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2）预约时自动检测资源冲突（设备、器械、耗材、房间冲突等)；</w:t>
            </w:r>
          </w:p>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★3）审批通过后学员可自助预约，已审批通过的开放训练室通过智能门禁系统预约开门；</w:t>
            </w:r>
          </w:p>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4）可查看每天所有房间预约、使用情况。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17</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教学绩效管理软件系统</w:t>
            </w:r>
          </w:p>
        </w:tc>
        <w:tc>
          <w:tcPr>
            <w:tcW w:w="7866" w:type="dxa"/>
            <w:gridSpan w:val="3"/>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1）审批环节执行严格的流程审批；</w:t>
            </w:r>
          </w:p>
          <w:p>
            <w:pPr>
              <w:pStyle w:val="2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申报人员可申请项目及项目类型，并实时查看其审批进度；</w:t>
            </w:r>
          </w:p>
          <w:p>
            <w:pPr>
              <w:pStyle w:val="2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专家可以使用教学质量评估表对项目承担人和接受人进行评价；</w:t>
            </w:r>
          </w:p>
          <w:p>
            <w:pPr>
              <w:pStyle w:val="2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2）实现课时费支持数据导出与导入；</w:t>
            </w:r>
          </w:p>
          <w:p>
            <w:pPr>
              <w:pStyle w:val="2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★3）统一用户管理功能，实现多个同品牌系统的单点登录功能，按照组织框架录入、管理人员信息。根据需要，灵活设定权限。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18</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电子考试软件系统</w:t>
            </w:r>
          </w:p>
        </w:tc>
        <w:tc>
          <w:tcPr>
            <w:tcW w:w="7866" w:type="dxa"/>
            <w:gridSpan w:val="3"/>
            <w:vAlign w:val="center"/>
          </w:tcPr>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1）支持多种题型的试题创建、上传音频、视频附件；</w:t>
            </w:r>
          </w:p>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★2）提供题库管理功能，试题支持加密和共享，可以使用自己创建的题库以及共享题库；</w:t>
            </w:r>
          </w:p>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3）区分显示试题状态；</w:t>
            </w:r>
          </w:p>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4）支持试题乱序，实现相同试题不同考生作答次序不同；</w:t>
            </w:r>
          </w:p>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＃5）知识库里包括病例库、评分表库、反馈表库、课程模板库、技能课程模板库、视频库等，用户可对自己添加的相关资源进行编辑、共享、设置状态、复制的操作；</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6）系统自带大量的知识库资源可供用户编辑引用，≥100个病例、评分表、量表数据，支持用户自行填加；</w:t>
            </w:r>
          </w:p>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7）可从试题库中选取试题，设置不同题型数目及每题分值；</w:t>
            </w:r>
          </w:p>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8）可为试题设置难易度；</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9）系统自带设备评分表库，可为带即时检测功能的模型人提供评分标准和换算公式，一经选用，系统自动匹配，以便在排考中即时自动评分；</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10）支持第三方系统的接入，向外开放大量的API；</w:t>
            </w:r>
          </w:p>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snapToGrid w:val="0"/>
                <w:color w:val="auto"/>
                <w:sz w:val="24"/>
                <w:szCs w:val="24"/>
                <w:lang w:eastAsia="zh-CN"/>
              </w:rPr>
              <w:t>11）提供题库导入工具（支持常规办公软件）。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19</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随时练软件系统</w:t>
            </w:r>
          </w:p>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p>
        </w:tc>
        <w:tc>
          <w:tcPr>
            <w:tcW w:w="7866" w:type="dxa"/>
            <w:gridSpan w:val="3"/>
            <w:vAlign w:val="center"/>
          </w:tcPr>
          <w:p>
            <w:pPr>
              <w:pStyle w:val="2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★1）软件系统可为单个或多个技能生成对应二维码，生成二维码后即可进行技能学习；</w:t>
            </w:r>
          </w:p>
          <w:p>
            <w:pPr>
              <w:pStyle w:val="2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2）学生可以根据时间查询训练记录；</w:t>
            </w:r>
          </w:p>
          <w:p>
            <w:pPr>
              <w:pStyle w:val="2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3）学生可以查询视频作业成绩，查看评语和对应视频记录；</w:t>
            </w:r>
          </w:p>
          <w:p>
            <w:pPr>
              <w:pStyle w:val="2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4）系统匹配评分表，教师可以对学生提交的视频作业进行打分，支持添加图形标记、评语标记，亦可标记扣分点；</w:t>
            </w:r>
          </w:p>
          <w:p>
            <w:pPr>
              <w:pStyle w:val="2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5）教师点评后的作业自动或手动标记为精品案例并储存到服务器中，精品案例可在案例库中统一管理；</w:t>
            </w:r>
          </w:p>
          <w:p>
            <w:pPr>
              <w:pStyle w:val="2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＃6）系统能自动记录学生训练的内容和时间，教师点评内容及视频等信息，为整个学习过程提供完整的数据基础。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随时考评软件系统</w:t>
            </w:r>
          </w:p>
        </w:tc>
        <w:tc>
          <w:tcPr>
            <w:tcW w:w="7866" w:type="dxa"/>
            <w:gridSpan w:val="3"/>
            <w:vAlign w:val="center"/>
          </w:tcPr>
          <w:p>
            <w:pPr>
              <w:pStyle w:val="2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★1）内置评分表≥5000个；</w:t>
            </w:r>
          </w:p>
          <w:p>
            <w:pPr>
              <w:pStyle w:val="2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＃2）教务/评委/学员登录后展示平台评分表，优先展示置顶评分表，可将平台评分表下载到我的评分表用于考评；</w:t>
            </w:r>
          </w:p>
          <w:p>
            <w:pPr>
              <w:pStyle w:val="2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3）评价者未添加考评对象，可通过扫码考评对象的二维码方式进行考评；</w:t>
            </w:r>
          </w:p>
          <w:p>
            <w:pPr>
              <w:pStyle w:val="2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4）评价者添加考评对象后，可通过人员列表选择考评对象进行考评；</w:t>
            </w:r>
          </w:p>
          <w:p>
            <w:pPr>
              <w:pStyle w:val="2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★5）实时评价与打分，可实时通过邮件、微信等，分享给相关考生；</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6）评价者可在三层组织机构中自由添加任意一组织机构的考评对象到人员列表中；</w:t>
            </w:r>
          </w:p>
          <w:p>
            <w:pPr>
              <w:pStyle w:val="2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7）系统将考评对象的成绩明细自动生成文件存于服务器中，用于数据备份；</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8）根据考评情况、管理员通过筛选评价者、时间，系统自动展示所有评价对象的各项考核得分以及总成绩。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用户管理软件系统</w:t>
            </w:r>
          </w:p>
        </w:tc>
        <w:tc>
          <w:tcPr>
            <w:tcW w:w="7866" w:type="dxa"/>
            <w:gridSpan w:val="3"/>
            <w:vAlign w:val="center"/>
          </w:tcPr>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★1）管理系统为实训平台内所有产品提供统一接口，一次设定，可在所有子系统内使用；</w:t>
            </w:r>
          </w:p>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2）引入token机制进行用户认证，实现线上部署的安全认证体质；</w:t>
            </w:r>
          </w:p>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3）实现单点登录，使用CAS统一管理用户的登录登出和相关数据的验证；</w:t>
            </w:r>
          </w:p>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4）系统支持多个独立的组织，组织下面可自由添加任意层级的组织机构，并提供组织机构查找、编辑以及删除功能。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全局总控监视软件系统</w:t>
            </w:r>
          </w:p>
        </w:tc>
        <w:tc>
          <w:tcPr>
            <w:tcW w:w="7866" w:type="dxa"/>
            <w:gridSpan w:val="3"/>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★1）通过token机制进行用户认证，保证网络安全并支持按照使用方意见二次开发。</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2）设备安装调试；根据用户需求进行软件定制开发；</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★3）考站装修综合布线（使用国际六路网线），可折叠的木质隔断、EI环保、考站內水晶头、音频线、线管、投影仪支架、螺钉、走线钉等安装到位。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项目所有软件、硬件具体要求</w:t>
            </w:r>
          </w:p>
        </w:tc>
        <w:tc>
          <w:tcPr>
            <w:tcW w:w="7866" w:type="dxa"/>
            <w:gridSpan w:val="3"/>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★1）可免费对接第三方软件系统，软件后台对用户开放，终身免费升级；</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★2）按照招标方的研究进行个性化定制；</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3）设备免费安装调试，根据场地实际需求完成综合布线；</w:t>
            </w:r>
          </w:p>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snapToGrid w:val="0"/>
                <w:color w:val="auto"/>
                <w:sz w:val="24"/>
                <w:szCs w:val="24"/>
                <w:lang w:eastAsia="zh-CN"/>
              </w:rPr>
              <w:t>4）安装设备、硬件等所需要的全部软件统一由投标方提供。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6"/>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售后服务要求（每一项都是“★”）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质保期</w:t>
            </w:r>
          </w:p>
        </w:tc>
        <w:tc>
          <w:tcPr>
            <w:tcW w:w="7866" w:type="dxa"/>
            <w:gridSpan w:val="3"/>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三年质保，软件终身免费升级，软件驻场服务三年。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备件库</w:t>
            </w:r>
          </w:p>
        </w:tc>
        <w:tc>
          <w:tcPr>
            <w:tcW w:w="7866" w:type="dxa"/>
            <w:gridSpan w:val="3"/>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国内有备件库。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维修站</w:t>
            </w:r>
          </w:p>
        </w:tc>
        <w:tc>
          <w:tcPr>
            <w:tcW w:w="7866" w:type="dxa"/>
            <w:gridSpan w:val="3"/>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西安有维修点并配备有维修工程师。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收费标准</w:t>
            </w:r>
          </w:p>
        </w:tc>
        <w:tc>
          <w:tcPr>
            <w:tcW w:w="7866" w:type="dxa"/>
            <w:gridSpan w:val="3"/>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质保期外配件及维修只收取成本费，免人工费。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培训支持</w:t>
            </w:r>
          </w:p>
        </w:tc>
        <w:tc>
          <w:tcPr>
            <w:tcW w:w="7866" w:type="dxa"/>
            <w:gridSpan w:val="3"/>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按实际需求进行培训，产品安装调试后对相关人员统一进行免费培训不低于3次。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维修响应</w:t>
            </w:r>
          </w:p>
        </w:tc>
        <w:tc>
          <w:tcPr>
            <w:tcW w:w="7866" w:type="dxa"/>
            <w:gridSpan w:val="3"/>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半小时内响应，2小时工程师到位。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到货时间</w:t>
            </w:r>
          </w:p>
        </w:tc>
        <w:tc>
          <w:tcPr>
            <w:tcW w:w="7866" w:type="dxa"/>
            <w:gridSpan w:val="3"/>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签订合同后，30个日历日到货。</w:t>
            </w:r>
          </w:p>
        </w:tc>
      </w:tr>
      <w:bookmarkEnd w:id="0"/>
      <w:bookmarkEnd w:id="1"/>
    </w:tbl>
    <w:p>
      <w:pPr>
        <w:widowControl/>
        <w:jc w:val="left"/>
        <w:rPr>
          <w:rFonts w:ascii="宋体" w:hAnsi="宋体" w:cs="黑体"/>
          <w:snapToGrid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8B4AE6"/>
    <w:multiLevelType w:val="singleLevel"/>
    <w:tmpl w:val="B08B4AE6"/>
    <w:lvl w:ilvl="0" w:tentative="0">
      <w:start w:val="9"/>
      <w:numFmt w:val="decimal"/>
      <w:suff w:val="nothing"/>
      <w:lvlText w:val="%1）"/>
      <w:lvlJc w:val="left"/>
      <w:rPr>
        <w:rFonts w:hint="default"/>
        <w:color w:val="FF0000"/>
      </w:rPr>
    </w:lvl>
  </w:abstractNum>
  <w:abstractNum w:abstractNumId="1">
    <w:nsid w:val="C02F6643"/>
    <w:multiLevelType w:val="singleLevel"/>
    <w:tmpl w:val="C02F6643"/>
    <w:lvl w:ilvl="0" w:tentative="0">
      <w:start w:val="2"/>
      <w:numFmt w:val="decimal"/>
      <w:suff w:val="nothing"/>
      <w:lvlText w:val="%1）"/>
      <w:lvlJc w:val="left"/>
    </w:lvl>
  </w:abstractNum>
  <w:abstractNum w:abstractNumId="2">
    <w:nsid w:val="39B50D2C"/>
    <w:multiLevelType w:val="multilevel"/>
    <w:tmpl w:val="39B50D2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64E2926"/>
    <w:multiLevelType w:val="multilevel"/>
    <w:tmpl w:val="564E29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3"/>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dlOWRmOWVmMmM1ZTVkZDQxY2FiNGE3NjBlMTg2ZWUifQ=="/>
  </w:docVars>
  <w:rsids>
    <w:rsidRoot w:val="19A15E62"/>
    <w:rsid w:val="0002044D"/>
    <w:rsid w:val="000342A6"/>
    <w:rsid w:val="00046163"/>
    <w:rsid w:val="000524C0"/>
    <w:rsid w:val="000545FE"/>
    <w:rsid w:val="00054C29"/>
    <w:rsid w:val="00062C9C"/>
    <w:rsid w:val="00094C83"/>
    <w:rsid w:val="000A384B"/>
    <w:rsid w:val="000C3A2F"/>
    <w:rsid w:val="000C6484"/>
    <w:rsid w:val="000D7416"/>
    <w:rsid w:val="000E5CA4"/>
    <w:rsid w:val="000F5286"/>
    <w:rsid w:val="001042B8"/>
    <w:rsid w:val="00107C49"/>
    <w:rsid w:val="00114AEA"/>
    <w:rsid w:val="0012041F"/>
    <w:rsid w:val="00120A60"/>
    <w:rsid w:val="00155B3B"/>
    <w:rsid w:val="00164C8E"/>
    <w:rsid w:val="00170A12"/>
    <w:rsid w:val="00176004"/>
    <w:rsid w:val="00192425"/>
    <w:rsid w:val="001A1628"/>
    <w:rsid w:val="001A734A"/>
    <w:rsid w:val="001C0B57"/>
    <w:rsid w:val="001C3337"/>
    <w:rsid w:val="001C6FDF"/>
    <w:rsid w:val="001F737E"/>
    <w:rsid w:val="00202DB2"/>
    <w:rsid w:val="002047C7"/>
    <w:rsid w:val="00221CC8"/>
    <w:rsid w:val="00230CF8"/>
    <w:rsid w:val="00234945"/>
    <w:rsid w:val="002468A0"/>
    <w:rsid w:val="00251BA2"/>
    <w:rsid w:val="00252FE9"/>
    <w:rsid w:val="0026015E"/>
    <w:rsid w:val="00266D0C"/>
    <w:rsid w:val="00267F1E"/>
    <w:rsid w:val="00285100"/>
    <w:rsid w:val="00296357"/>
    <w:rsid w:val="002A243F"/>
    <w:rsid w:val="002A29B8"/>
    <w:rsid w:val="002B40AE"/>
    <w:rsid w:val="002C1413"/>
    <w:rsid w:val="002C21FA"/>
    <w:rsid w:val="002C4BC4"/>
    <w:rsid w:val="002C7D01"/>
    <w:rsid w:val="002E0956"/>
    <w:rsid w:val="00300659"/>
    <w:rsid w:val="00312C68"/>
    <w:rsid w:val="003151D7"/>
    <w:rsid w:val="003250CD"/>
    <w:rsid w:val="00344E7A"/>
    <w:rsid w:val="003526D5"/>
    <w:rsid w:val="00361D23"/>
    <w:rsid w:val="003A3ABE"/>
    <w:rsid w:val="003A77C9"/>
    <w:rsid w:val="003B55C8"/>
    <w:rsid w:val="003C04BD"/>
    <w:rsid w:val="003C0D17"/>
    <w:rsid w:val="003C1FAC"/>
    <w:rsid w:val="003E304F"/>
    <w:rsid w:val="00415F46"/>
    <w:rsid w:val="00422CDF"/>
    <w:rsid w:val="004432F1"/>
    <w:rsid w:val="00465054"/>
    <w:rsid w:val="00472BFD"/>
    <w:rsid w:val="00480E1E"/>
    <w:rsid w:val="00486784"/>
    <w:rsid w:val="004A675A"/>
    <w:rsid w:val="004B3E73"/>
    <w:rsid w:val="004B5D66"/>
    <w:rsid w:val="004B60BB"/>
    <w:rsid w:val="004C37F8"/>
    <w:rsid w:val="004D21DD"/>
    <w:rsid w:val="004E7B7D"/>
    <w:rsid w:val="004F0634"/>
    <w:rsid w:val="00502B07"/>
    <w:rsid w:val="0050461A"/>
    <w:rsid w:val="00532C52"/>
    <w:rsid w:val="00540256"/>
    <w:rsid w:val="00541053"/>
    <w:rsid w:val="0054680A"/>
    <w:rsid w:val="00570E37"/>
    <w:rsid w:val="00576DCF"/>
    <w:rsid w:val="00580FC7"/>
    <w:rsid w:val="00581A2E"/>
    <w:rsid w:val="005A05C3"/>
    <w:rsid w:val="005B1EAD"/>
    <w:rsid w:val="005C1886"/>
    <w:rsid w:val="00603E75"/>
    <w:rsid w:val="00605788"/>
    <w:rsid w:val="00605842"/>
    <w:rsid w:val="00610077"/>
    <w:rsid w:val="00612084"/>
    <w:rsid w:val="0064153B"/>
    <w:rsid w:val="006415FC"/>
    <w:rsid w:val="00644F13"/>
    <w:rsid w:val="006464E9"/>
    <w:rsid w:val="00671C60"/>
    <w:rsid w:val="00673B7C"/>
    <w:rsid w:val="00682485"/>
    <w:rsid w:val="006C75FB"/>
    <w:rsid w:val="006D71A6"/>
    <w:rsid w:val="006F5127"/>
    <w:rsid w:val="00725A54"/>
    <w:rsid w:val="0073745C"/>
    <w:rsid w:val="0074369E"/>
    <w:rsid w:val="00776C3E"/>
    <w:rsid w:val="00790D63"/>
    <w:rsid w:val="007975BA"/>
    <w:rsid w:val="007A2AE1"/>
    <w:rsid w:val="007C061A"/>
    <w:rsid w:val="007D147D"/>
    <w:rsid w:val="007D37E2"/>
    <w:rsid w:val="007D6AA8"/>
    <w:rsid w:val="007E2DAD"/>
    <w:rsid w:val="007F4F99"/>
    <w:rsid w:val="008025C6"/>
    <w:rsid w:val="00815EDB"/>
    <w:rsid w:val="00822751"/>
    <w:rsid w:val="00826E11"/>
    <w:rsid w:val="0082728A"/>
    <w:rsid w:val="0083471C"/>
    <w:rsid w:val="008456AC"/>
    <w:rsid w:val="00846B87"/>
    <w:rsid w:val="008564A1"/>
    <w:rsid w:val="00860B28"/>
    <w:rsid w:val="00862772"/>
    <w:rsid w:val="008769A2"/>
    <w:rsid w:val="00891FC3"/>
    <w:rsid w:val="008A4967"/>
    <w:rsid w:val="008A64F5"/>
    <w:rsid w:val="00905E6A"/>
    <w:rsid w:val="00911B92"/>
    <w:rsid w:val="0091323C"/>
    <w:rsid w:val="00934229"/>
    <w:rsid w:val="00937EAA"/>
    <w:rsid w:val="00943275"/>
    <w:rsid w:val="009506CE"/>
    <w:rsid w:val="009972E8"/>
    <w:rsid w:val="009B4794"/>
    <w:rsid w:val="009C0046"/>
    <w:rsid w:val="009C48B5"/>
    <w:rsid w:val="009C5AD1"/>
    <w:rsid w:val="009D4E32"/>
    <w:rsid w:val="009E3452"/>
    <w:rsid w:val="00A011B6"/>
    <w:rsid w:val="00A02CAD"/>
    <w:rsid w:val="00A17223"/>
    <w:rsid w:val="00A23F6F"/>
    <w:rsid w:val="00A25852"/>
    <w:rsid w:val="00A33D6F"/>
    <w:rsid w:val="00A35327"/>
    <w:rsid w:val="00A4142E"/>
    <w:rsid w:val="00A579E1"/>
    <w:rsid w:val="00A64A4D"/>
    <w:rsid w:val="00A76416"/>
    <w:rsid w:val="00A95588"/>
    <w:rsid w:val="00A97192"/>
    <w:rsid w:val="00AA6CA3"/>
    <w:rsid w:val="00AC023F"/>
    <w:rsid w:val="00AC2FEC"/>
    <w:rsid w:val="00AC3F59"/>
    <w:rsid w:val="00AD70DA"/>
    <w:rsid w:val="00AD75E3"/>
    <w:rsid w:val="00B015F5"/>
    <w:rsid w:val="00B05F70"/>
    <w:rsid w:val="00B22D2F"/>
    <w:rsid w:val="00B43BC2"/>
    <w:rsid w:val="00B46DCB"/>
    <w:rsid w:val="00B4737F"/>
    <w:rsid w:val="00B52870"/>
    <w:rsid w:val="00B57386"/>
    <w:rsid w:val="00B7345A"/>
    <w:rsid w:val="00B745A2"/>
    <w:rsid w:val="00B853D8"/>
    <w:rsid w:val="00B8795D"/>
    <w:rsid w:val="00BA7466"/>
    <w:rsid w:val="00BC19C8"/>
    <w:rsid w:val="00C021A2"/>
    <w:rsid w:val="00C0235F"/>
    <w:rsid w:val="00C20B05"/>
    <w:rsid w:val="00C26053"/>
    <w:rsid w:val="00C42638"/>
    <w:rsid w:val="00C451A2"/>
    <w:rsid w:val="00C727AC"/>
    <w:rsid w:val="00C777B2"/>
    <w:rsid w:val="00C77FA6"/>
    <w:rsid w:val="00C91306"/>
    <w:rsid w:val="00CB4529"/>
    <w:rsid w:val="00CC08FC"/>
    <w:rsid w:val="00CC5702"/>
    <w:rsid w:val="00CF4071"/>
    <w:rsid w:val="00D035B2"/>
    <w:rsid w:val="00D25455"/>
    <w:rsid w:val="00D3534D"/>
    <w:rsid w:val="00D509BA"/>
    <w:rsid w:val="00D538F7"/>
    <w:rsid w:val="00D5507D"/>
    <w:rsid w:val="00D6649E"/>
    <w:rsid w:val="00D66EFD"/>
    <w:rsid w:val="00D769DA"/>
    <w:rsid w:val="00D844E9"/>
    <w:rsid w:val="00D84CDE"/>
    <w:rsid w:val="00D972C4"/>
    <w:rsid w:val="00DA396E"/>
    <w:rsid w:val="00DA3A8B"/>
    <w:rsid w:val="00DC5219"/>
    <w:rsid w:val="00E0561B"/>
    <w:rsid w:val="00E06986"/>
    <w:rsid w:val="00E06E2C"/>
    <w:rsid w:val="00E07EED"/>
    <w:rsid w:val="00E1044C"/>
    <w:rsid w:val="00E2333A"/>
    <w:rsid w:val="00E33608"/>
    <w:rsid w:val="00E458BB"/>
    <w:rsid w:val="00E46234"/>
    <w:rsid w:val="00E466E8"/>
    <w:rsid w:val="00E61849"/>
    <w:rsid w:val="00E80934"/>
    <w:rsid w:val="00E8381C"/>
    <w:rsid w:val="00E8460A"/>
    <w:rsid w:val="00EB61E8"/>
    <w:rsid w:val="00EC6509"/>
    <w:rsid w:val="00EC711F"/>
    <w:rsid w:val="00ED42E8"/>
    <w:rsid w:val="00EE242E"/>
    <w:rsid w:val="00EE2CE1"/>
    <w:rsid w:val="00EE384E"/>
    <w:rsid w:val="00EF45B8"/>
    <w:rsid w:val="00F1160B"/>
    <w:rsid w:val="00F11ED1"/>
    <w:rsid w:val="00F23E93"/>
    <w:rsid w:val="00F27A73"/>
    <w:rsid w:val="00F31AF6"/>
    <w:rsid w:val="00F35A7B"/>
    <w:rsid w:val="00F705B7"/>
    <w:rsid w:val="00F72DAD"/>
    <w:rsid w:val="00F81502"/>
    <w:rsid w:val="00F869C1"/>
    <w:rsid w:val="00F870C6"/>
    <w:rsid w:val="00FA1361"/>
    <w:rsid w:val="00FA17E7"/>
    <w:rsid w:val="00FA1DCC"/>
    <w:rsid w:val="00FA7DD0"/>
    <w:rsid w:val="00FB4B89"/>
    <w:rsid w:val="00FD101E"/>
    <w:rsid w:val="00FD63B8"/>
    <w:rsid w:val="00FE304F"/>
    <w:rsid w:val="09216720"/>
    <w:rsid w:val="095E1E76"/>
    <w:rsid w:val="152452C6"/>
    <w:rsid w:val="19A15E62"/>
    <w:rsid w:val="1BC13255"/>
    <w:rsid w:val="3DB27374"/>
    <w:rsid w:val="4B1A0036"/>
    <w:rsid w:val="506C597C"/>
    <w:rsid w:val="5BE87BAE"/>
    <w:rsid w:val="5F2B50E6"/>
    <w:rsid w:val="617C46E1"/>
    <w:rsid w:val="67075D70"/>
    <w:rsid w:val="6B354672"/>
    <w:rsid w:val="729320EB"/>
    <w:rsid w:val="72DC49EA"/>
    <w:rsid w:val="7C281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4"/>
      <w:lang w:val="en-US" w:eastAsia="zh-CN" w:bidi="ar-SA"/>
    </w:rPr>
  </w:style>
  <w:style w:type="paragraph" w:styleId="3">
    <w:name w:val="heading 3"/>
    <w:basedOn w:val="1"/>
    <w:next w:val="4"/>
    <w:link w:val="34"/>
    <w:qFormat/>
    <w:uiPriority w:val="0"/>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8"/>
    <w:semiHidden/>
    <w:unhideWhenUsed/>
    <w:qFormat/>
    <w:uiPriority w:val="99"/>
    <w:pPr>
      <w:spacing w:after="120"/>
    </w:pPr>
    <w:rPr>
      <w:rFonts w:cs="Times New Roman"/>
    </w:rPr>
  </w:style>
  <w:style w:type="paragraph" w:styleId="4">
    <w:name w:val="Normal Indent"/>
    <w:basedOn w:val="1"/>
    <w:semiHidden/>
    <w:unhideWhenUsed/>
    <w:qFormat/>
    <w:uiPriority w:val="0"/>
    <w:pPr>
      <w:ind w:firstLine="420" w:firstLineChars="200"/>
    </w:pPr>
  </w:style>
  <w:style w:type="paragraph" w:styleId="5">
    <w:name w:val="Document Map"/>
    <w:basedOn w:val="1"/>
    <w:link w:val="26"/>
    <w:qFormat/>
    <w:uiPriority w:val="0"/>
    <w:rPr>
      <w:rFonts w:ascii="宋体"/>
      <w:sz w:val="18"/>
      <w:szCs w:val="18"/>
    </w:rPr>
  </w:style>
  <w:style w:type="paragraph" w:styleId="6">
    <w:name w:val="annotation text"/>
    <w:basedOn w:val="1"/>
    <w:link w:val="18"/>
    <w:qFormat/>
    <w:uiPriority w:val="0"/>
    <w:pPr>
      <w:jc w:val="left"/>
    </w:pPr>
  </w:style>
  <w:style w:type="paragraph" w:styleId="7">
    <w:name w:val="Plain Text"/>
    <w:basedOn w:val="1"/>
    <w:link w:val="22"/>
    <w:unhideWhenUsed/>
    <w:qFormat/>
    <w:uiPriority w:val="0"/>
    <w:rPr>
      <w:rFonts w:ascii="宋体" w:hAnsi="Courier New" w:eastAsiaTheme="minorEastAsia" w:cstheme="minorBidi"/>
      <w:szCs w:val="20"/>
    </w:rPr>
  </w:style>
  <w:style w:type="paragraph" w:styleId="8">
    <w:name w:val="Balloon Text"/>
    <w:basedOn w:val="1"/>
    <w:link w:val="21"/>
    <w:qFormat/>
    <w:uiPriority w:val="0"/>
    <w:rPr>
      <w:sz w:val="18"/>
      <w:szCs w:val="18"/>
    </w:rPr>
  </w:style>
  <w:style w:type="paragraph" w:styleId="9">
    <w:name w:val="footer"/>
    <w:basedOn w:val="1"/>
    <w:link w:val="17"/>
    <w:qFormat/>
    <w:uiPriority w:val="0"/>
    <w:pPr>
      <w:tabs>
        <w:tab w:val="center" w:pos="4153"/>
        <w:tab w:val="right" w:pos="8306"/>
      </w:tabs>
      <w:snapToGrid w:val="0"/>
      <w:jc w:val="left"/>
    </w:pPr>
    <w:rPr>
      <w:sz w:val="18"/>
      <w:szCs w:val="18"/>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hint="eastAsia" w:ascii="宋体" w:hAnsi="宋体"/>
      <w:kern w:val="0"/>
      <w:sz w:val="24"/>
    </w:rPr>
  </w:style>
  <w:style w:type="paragraph" w:styleId="12">
    <w:name w:val="annotation subject"/>
    <w:basedOn w:val="6"/>
    <w:next w:val="6"/>
    <w:link w:val="19"/>
    <w:qFormat/>
    <w:uiPriority w:val="0"/>
    <w:rPr>
      <w:b/>
      <w:bCs/>
    </w:rPr>
  </w:style>
  <w:style w:type="character" w:styleId="15">
    <w:name w:val="annotation reference"/>
    <w:basedOn w:val="14"/>
    <w:qFormat/>
    <w:uiPriority w:val="0"/>
    <w:rPr>
      <w:sz w:val="21"/>
      <w:szCs w:val="21"/>
    </w:rPr>
  </w:style>
  <w:style w:type="character" w:customStyle="1" w:styleId="16">
    <w:name w:val="页眉 字符"/>
    <w:basedOn w:val="14"/>
    <w:link w:val="10"/>
    <w:qFormat/>
    <w:uiPriority w:val="0"/>
    <w:rPr>
      <w:rFonts w:ascii="Times New Roman" w:hAnsi="Times New Roman" w:eastAsia="宋体" w:cs="宋体"/>
      <w:kern w:val="2"/>
      <w:sz w:val="18"/>
      <w:szCs w:val="18"/>
    </w:rPr>
  </w:style>
  <w:style w:type="character" w:customStyle="1" w:styleId="17">
    <w:name w:val="页脚 字符"/>
    <w:basedOn w:val="14"/>
    <w:link w:val="9"/>
    <w:qFormat/>
    <w:uiPriority w:val="0"/>
    <w:rPr>
      <w:rFonts w:ascii="Times New Roman" w:hAnsi="Times New Roman" w:eastAsia="宋体" w:cs="宋体"/>
      <w:kern w:val="2"/>
      <w:sz w:val="18"/>
      <w:szCs w:val="18"/>
    </w:rPr>
  </w:style>
  <w:style w:type="character" w:customStyle="1" w:styleId="18">
    <w:name w:val="批注文字 字符"/>
    <w:basedOn w:val="14"/>
    <w:link w:val="6"/>
    <w:qFormat/>
    <w:uiPriority w:val="0"/>
    <w:rPr>
      <w:rFonts w:ascii="Times New Roman" w:hAnsi="Times New Roman" w:eastAsia="宋体" w:cs="宋体"/>
      <w:kern w:val="2"/>
      <w:sz w:val="21"/>
      <w:szCs w:val="24"/>
    </w:rPr>
  </w:style>
  <w:style w:type="character" w:customStyle="1" w:styleId="19">
    <w:name w:val="批注主题 字符"/>
    <w:basedOn w:val="18"/>
    <w:link w:val="12"/>
    <w:qFormat/>
    <w:uiPriority w:val="0"/>
    <w:rPr>
      <w:rFonts w:ascii="Times New Roman" w:hAnsi="Times New Roman" w:eastAsia="宋体" w:cs="宋体"/>
      <w:b/>
      <w:bCs/>
      <w:kern w:val="2"/>
      <w:sz w:val="21"/>
      <w:szCs w:val="24"/>
    </w:rPr>
  </w:style>
  <w:style w:type="paragraph" w:customStyle="1" w:styleId="20">
    <w:name w:val="修订1"/>
    <w:hidden/>
    <w:semiHidden/>
    <w:qFormat/>
    <w:uiPriority w:val="99"/>
    <w:rPr>
      <w:rFonts w:ascii="Times New Roman" w:hAnsi="Times New Roman" w:eastAsia="宋体" w:cs="宋体"/>
      <w:kern w:val="2"/>
      <w:sz w:val="21"/>
      <w:szCs w:val="24"/>
      <w:lang w:val="en-US" w:eastAsia="zh-CN" w:bidi="ar-SA"/>
    </w:rPr>
  </w:style>
  <w:style w:type="character" w:customStyle="1" w:styleId="21">
    <w:name w:val="批注框文本 字符"/>
    <w:basedOn w:val="14"/>
    <w:link w:val="8"/>
    <w:qFormat/>
    <w:uiPriority w:val="0"/>
    <w:rPr>
      <w:rFonts w:ascii="Times New Roman" w:hAnsi="Times New Roman" w:eastAsia="宋体" w:cs="宋体"/>
      <w:kern w:val="2"/>
      <w:sz w:val="18"/>
      <w:szCs w:val="18"/>
    </w:rPr>
  </w:style>
  <w:style w:type="character" w:customStyle="1" w:styleId="22">
    <w:name w:val="纯文本 字符1"/>
    <w:link w:val="7"/>
    <w:qFormat/>
    <w:uiPriority w:val="0"/>
    <w:rPr>
      <w:rFonts w:ascii="宋体" w:hAnsi="Courier New"/>
      <w:kern w:val="2"/>
      <w:sz w:val="21"/>
    </w:rPr>
  </w:style>
  <w:style w:type="character" w:customStyle="1" w:styleId="23">
    <w:name w:val="纯文本 字符"/>
    <w:basedOn w:val="14"/>
    <w:qFormat/>
    <w:uiPriority w:val="0"/>
    <w:rPr>
      <w:rFonts w:hAnsi="Courier New" w:cs="Courier New" w:asciiTheme="minorEastAsia"/>
      <w:kern w:val="2"/>
      <w:sz w:val="21"/>
      <w:szCs w:val="24"/>
    </w:rPr>
  </w:style>
  <w:style w:type="paragraph" w:customStyle="1" w:styleId="24">
    <w:name w:val="中等深浅网格 1 - 强调文字颜色 21"/>
    <w:basedOn w:val="1"/>
    <w:qFormat/>
    <w:uiPriority w:val="34"/>
    <w:pPr>
      <w:ind w:firstLine="420" w:firstLineChars="200"/>
    </w:pPr>
    <w:rPr>
      <w:rFonts w:ascii="Calibri" w:hAnsi="Calibri" w:cs="Times New Roman"/>
      <w:szCs w:val="22"/>
    </w:rPr>
  </w:style>
  <w:style w:type="paragraph" w:styleId="25">
    <w:name w:val="List Paragraph"/>
    <w:basedOn w:val="1"/>
    <w:qFormat/>
    <w:uiPriority w:val="34"/>
    <w:pPr>
      <w:ind w:firstLine="420" w:firstLineChars="200"/>
    </w:pPr>
    <w:rPr>
      <w:rFonts w:ascii="Calibri" w:hAnsi="Calibri" w:cs="Times New Roman"/>
      <w:szCs w:val="22"/>
    </w:rPr>
  </w:style>
  <w:style w:type="character" w:customStyle="1" w:styleId="26">
    <w:name w:val="文档结构图 字符"/>
    <w:basedOn w:val="14"/>
    <w:link w:val="5"/>
    <w:qFormat/>
    <w:uiPriority w:val="0"/>
    <w:rPr>
      <w:rFonts w:ascii="宋体" w:hAnsi="Times New Roman" w:eastAsia="宋体" w:cs="宋体"/>
      <w:kern w:val="2"/>
      <w:sz w:val="18"/>
      <w:szCs w:val="18"/>
    </w:rPr>
  </w:style>
  <w:style w:type="character" w:customStyle="1" w:styleId="27">
    <w:name w:val="NormalCharacter"/>
    <w:semiHidden/>
    <w:qFormat/>
    <w:uiPriority w:val="0"/>
  </w:style>
  <w:style w:type="paragraph" w:customStyle="1" w:styleId="28">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_Style 26"/>
    <w:basedOn w:val="1"/>
    <w:next w:val="25"/>
    <w:qFormat/>
    <w:uiPriority w:val="34"/>
    <w:pPr>
      <w:ind w:firstLine="420" w:firstLineChars="200"/>
    </w:pPr>
    <w:rPr>
      <w:rFonts w:cs="Times New Roman"/>
    </w:rPr>
  </w:style>
  <w:style w:type="character" w:customStyle="1" w:styleId="31">
    <w:name w:val="font31"/>
    <w:qFormat/>
    <w:uiPriority w:val="0"/>
    <w:rPr>
      <w:rFonts w:hint="eastAsia" w:ascii="宋体" w:hAnsi="宋体" w:eastAsia="宋体" w:cs="宋体"/>
      <w:color w:val="000000"/>
      <w:sz w:val="24"/>
      <w:szCs w:val="24"/>
      <w:u w:val="none"/>
    </w:rPr>
  </w:style>
  <w:style w:type="character" w:customStyle="1" w:styleId="32">
    <w:name w:val="font11"/>
    <w:qFormat/>
    <w:uiPriority w:val="0"/>
    <w:rPr>
      <w:rFonts w:hint="default" w:ascii="Times New Roman" w:hAnsi="Times New Roman" w:cs="Times New Roman"/>
      <w:color w:val="000000"/>
      <w:sz w:val="24"/>
      <w:szCs w:val="24"/>
      <w:u w:val="none"/>
    </w:rPr>
  </w:style>
  <w:style w:type="character" w:customStyle="1" w:styleId="33">
    <w:name w:val="标题 3 字符"/>
    <w:basedOn w:val="14"/>
    <w:semiHidden/>
    <w:qFormat/>
    <w:uiPriority w:val="0"/>
    <w:rPr>
      <w:rFonts w:ascii="Times New Roman" w:hAnsi="Times New Roman" w:eastAsia="宋体" w:cs="宋体"/>
      <w:b/>
      <w:bCs/>
      <w:kern w:val="2"/>
      <w:sz w:val="32"/>
      <w:szCs w:val="32"/>
    </w:rPr>
  </w:style>
  <w:style w:type="character" w:customStyle="1" w:styleId="34">
    <w:name w:val="标题 3 字符1"/>
    <w:link w:val="3"/>
    <w:qFormat/>
    <w:uiPriority w:val="0"/>
    <w:rPr>
      <w:rFonts w:ascii="Calibri" w:hAnsi="Calibri" w:eastAsia="宋体" w:cs="Times New Roman"/>
      <w:b/>
      <w:bCs/>
      <w:kern w:val="2"/>
      <w:sz w:val="28"/>
      <w:szCs w:val="32"/>
    </w:rPr>
  </w:style>
  <w:style w:type="paragraph" w:customStyle="1" w:styleId="35">
    <w:name w:val="列出段落1"/>
    <w:basedOn w:val="1"/>
    <w:qFormat/>
    <w:uiPriority w:val="34"/>
    <w:pPr>
      <w:ind w:firstLine="420" w:firstLineChars="200"/>
    </w:pPr>
    <w:rPr>
      <w:rFonts w:ascii="Calibri" w:hAnsi="Calibri" w:cs="Times New Roman"/>
    </w:rPr>
  </w:style>
  <w:style w:type="character" w:customStyle="1" w:styleId="36">
    <w:name w:val="font61"/>
    <w:basedOn w:val="14"/>
    <w:qFormat/>
    <w:uiPriority w:val="0"/>
    <w:rPr>
      <w:rFonts w:hint="default" w:ascii="幼圆" w:hAnsi="幼圆" w:eastAsia="幼圆" w:cs="幼圆"/>
      <w:color w:val="000000"/>
      <w:sz w:val="20"/>
      <w:szCs w:val="20"/>
      <w:u w:val="none"/>
    </w:rPr>
  </w:style>
  <w:style w:type="character" w:customStyle="1" w:styleId="37">
    <w:name w:val="font12"/>
    <w:qFormat/>
    <w:uiPriority w:val="0"/>
    <w:rPr>
      <w:rFonts w:hint="default" w:ascii="仿宋_GB2312" w:eastAsia="仿宋_GB2312" w:cs="仿宋_GB2312"/>
      <w:color w:val="000000"/>
      <w:sz w:val="24"/>
      <w:szCs w:val="24"/>
      <w:u w:val="none"/>
    </w:rPr>
  </w:style>
  <w:style w:type="character" w:customStyle="1" w:styleId="38">
    <w:name w:val="正文文本 字符"/>
    <w:basedOn w:val="14"/>
    <w:link w:val="2"/>
    <w:semiHidden/>
    <w:qFormat/>
    <w:uiPriority w:val="99"/>
    <w:rPr>
      <w:rFonts w:ascii="Times New Roman" w:hAnsi="Times New Roman" w:eastAsia="宋体" w:cs="Times New Roman"/>
      <w:kern w:val="2"/>
      <w:sz w:val="21"/>
      <w:szCs w:val="24"/>
    </w:rPr>
  </w:style>
  <w:style w:type="paragraph" w:customStyle="1" w:styleId="39">
    <w:name w:val="DAS正文"/>
    <w:basedOn w:val="1"/>
    <w:qFormat/>
    <w:uiPriority w:val="0"/>
    <w:pPr>
      <w:spacing w:line="360" w:lineRule="auto"/>
      <w:ind w:right="181" w:firstLine="480" w:firstLineChars="200"/>
    </w:pPr>
    <w:rPr>
      <w:rFonts w:ascii="Verdana" w:hAnsi="Verdana" w:eastAsia="等线"/>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B1F-772B-4C33-9B26-FBE03CCCECF2}">
  <ds:schemaRefs/>
</ds:datastoreItem>
</file>

<file path=docProps/app.xml><?xml version="1.0" encoding="utf-8"?>
<Properties xmlns="http://schemas.openxmlformats.org/officeDocument/2006/extended-properties" xmlns:vt="http://schemas.openxmlformats.org/officeDocument/2006/docPropsVTypes">
  <Template>Normal</Template>
  <Pages>7</Pages>
  <Words>5531</Words>
  <Characters>6455</Characters>
  <Lines>6</Lines>
  <Paragraphs>1</Paragraphs>
  <TotalTime>14</TotalTime>
  <ScaleCrop>false</ScaleCrop>
  <LinksUpToDate>false</LinksUpToDate>
  <CharactersWithSpaces>6678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2019-11-08T04:25:00Z</dcterms:created>
  <dc:creator>ghost</dc:creator>
  <cp:lastModifiedBy>十四.</cp:lastModifiedBy>
  <dcterms:modified xsi:type="dcterms:W3CDTF">2022-08-27T03:07:36Z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9AFEBB7ED82248AD84FE873F7DFBCFDA</vt:lpwstr>
  </property>
</Properties>
</file>