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44"/>
          <w:szCs w:val="44"/>
        </w:rPr>
      </w:pPr>
      <w:r>
        <w:rPr>
          <w:rFonts w:eastAsia="方正小标宋简体"/>
          <w:sz w:val="44"/>
          <w:szCs w:val="44"/>
        </w:rPr>
        <w:t>技术参数</w:t>
      </w:r>
    </w:p>
    <w:tbl>
      <w:tblPr>
        <w:tblStyle w:val="10"/>
        <w:tblpPr w:leftFromText="180" w:rightFromText="180" w:vertAnchor="text" w:horzAnchor="page" w:tblpX="1211" w:tblpY="909"/>
        <w:tblOverlap w:val="never"/>
        <w:tblW w:w="9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3"/>
        <w:gridCol w:w="1235"/>
        <w:gridCol w:w="781"/>
        <w:gridCol w:w="845"/>
        <w:gridCol w:w="5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118" w:type="dxa"/>
            <w:gridSpan w:val="3"/>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项目编号</w:t>
            </w:r>
          </w:p>
        </w:tc>
        <w:tc>
          <w:tcPr>
            <w:tcW w:w="75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2022-JKMKQY-W1009-14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118" w:type="dxa"/>
            <w:gridSpan w:val="3"/>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货物名称</w:t>
            </w:r>
          </w:p>
        </w:tc>
        <w:tc>
          <w:tcPr>
            <w:tcW w:w="75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财务对账平台系统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118" w:type="dxa"/>
            <w:gridSpan w:val="3"/>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数量</w:t>
            </w:r>
          </w:p>
        </w:tc>
        <w:tc>
          <w:tcPr>
            <w:tcW w:w="1626" w:type="dxa"/>
            <w:gridSpan w:val="2"/>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5935" w:type="dxa"/>
            <w:vAlign w:val="center"/>
          </w:tcPr>
          <w:p>
            <w:pPr>
              <w:ind w:right="-214" w:rightChars="-102"/>
              <w:jc w:val="center"/>
              <w:rPr>
                <w:rFonts w:hint="eastAsia" w:ascii="宋体" w:hAnsi="宋体" w:eastAsia="宋体" w:cs="宋体"/>
                <w:sz w:val="21"/>
                <w:szCs w:val="21"/>
              </w:rPr>
            </w:pPr>
            <w:r>
              <w:rPr>
                <w:rFonts w:hint="eastAsia" w:ascii="宋体" w:hAnsi="宋体" w:eastAsia="宋体" w:cs="宋体"/>
                <w:sz w:val="21"/>
                <w:szCs w:val="21"/>
              </w:rPr>
              <w:t>□进口  ■国产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118" w:type="dxa"/>
            <w:gridSpan w:val="3"/>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sz w:val="21"/>
                <w:szCs w:val="21"/>
              </w:rPr>
            </w:pPr>
            <w:r>
              <w:rPr>
                <w:rFonts w:hint="eastAsia" w:ascii="宋体" w:hAnsi="宋体" w:eastAsia="宋体" w:cs="宋体"/>
                <w:kern w:val="2"/>
                <w:sz w:val="21"/>
                <w:szCs w:val="21"/>
                <w:lang w:val="en-US" w:eastAsia="zh-CN" w:bidi="ar"/>
              </w:rPr>
              <w:t>最高投标限价</w:t>
            </w:r>
          </w:p>
        </w:tc>
        <w:tc>
          <w:tcPr>
            <w:tcW w:w="7561" w:type="dxa"/>
            <w:gridSpan w:val="3"/>
            <w:vAlign w:val="center"/>
          </w:tcPr>
          <w:p>
            <w:pPr>
              <w:ind w:left="360"/>
              <w:jc w:val="center"/>
              <w:rPr>
                <w:rFonts w:hint="eastAsia" w:ascii="宋体" w:hAnsi="宋体" w:eastAsia="宋体" w:cs="宋体"/>
                <w:sz w:val="21"/>
                <w:szCs w:val="21"/>
              </w:rPr>
            </w:pPr>
            <w:r>
              <w:rPr>
                <w:rFonts w:hint="eastAsia" w:ascii="宋体" w:hAnsi="宋体" w:eastAsia="宋体" w:cs="宋体"/>
                <w:sz w:val="21"/>
                <w:szCs w:val="21"/>
              </w:rPr>
              <w:t>人民币86万元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9679" w:type="dxa"/>
            <w:gridSpan w:val="6"/>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5" w:hRule="atLeast"/>
        </w:trPr>
        <w:tc>
          <w:tcPr>
            <w:tcW w:w="9679" w:type="dxa"/>
            <w:gridSpan w:val="6"/>
            <w:vAlign w:val="center"/>
          </w:tcPr>
          <w:p>
            <w:pPr>
              <w:ind w:firstLine="420" w:firstLineChars="200"/>
              <w:jc w:val="left"/>
              <w:rPr>
                <w:rFonts w:hint="eastAsia" w:ascii="宋体" w:hAnsi="宋体" w:eastAsia="宋体" w:cs="宋体"/>
                <w:sz w:val="21"/>
                <w:szCs w:val="21"/>
              </w:rPr>
            </w:pPr>
            <w:bookmarkStart w:id="0" w:name="_Toc34824341"/>
            <w:bookmarkStart w:id="1" w:name="_Toc34874803"/>
            <w:r>
              <w:rPr>
                <w:rFonts w:hint="eastAsia" w:ascii="宋体" w:hAnsi="宋体" w:eastAsia="宋体" w:cs="宋体"/>
                <w:sz w:val="21"/>
                <w:szCs w:val="21"/>
              </w:rPr>
              <w:t>对账场景接入要求：接入窗口扫码支付、自助机扫码支付、诊间扫码支付、特定场所收款码扫码支付、医院掌上医院系统手机支付以及银联POS机刷卡支付等所有</w:t>
            </w:r>
            <w:bookmarkStart w:id="8" w:name="_GoBack"/>
            <w:bookmarkEnd w:id="8"/>
            <w:r>
              <w:rPr>
                <w:rFonts w:hint="eastAsia" w:ascii="宋体" w:hAnsi="宋体" w:eastAsia="宋体" w:cs="宋体"/>
                <w:sz w:val="21"/>
                <w:szCs w:val="21"/>
              </w:rPr>
              <w:t>非现金支付业务场景数据。</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信息系统接入要求：对接院方的业务生产系统，实现账单与交易单据的自动匹配，通过信息系统间的数据互通自动完成财务对账。</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多账户对账要求：支持医院方设立的多账户收支对账，并能根据每个子账户对应的业务场景进行分类汇总和明细筛查。</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多区域对账要求：满足医院门诊部、住院部分别独立对账的业务管理需求，每个区域独立一套财务对账体系支撑日常财务对账的业务操作，同时能够汇总所有门诊部和住院部的对账单向管理层展现宏观财务数据。</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提供自动对账功能，根据院方设定的对账时间点快速生成对账单，对账周期能够按天、周、月等时间范围自动汇总对账。</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支持每个收费窗口的最小单元每日对账，支持收费员在每日关账后及时核对当日账款是否平衡，并对长短款提供差账定位提醒，协助窗口收费员进行差账处理。</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支持按照班组模式的统一对账，每个班组内的最小对账单元能够自动汇总，差账信息能够通过班组对账单体现并能分级钻取定位到具体的最小对账单元。</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对自助设备上操作的交易记录提供自动对账功能，根据每台设备的唯一标识分别生成对账单，当出现差账情况时能快速准确定位到具体设备以及具体订单信息对账平台还需要支持对所有自助设备对账单的统一汇总，生成自助设备交易的统一对账单。</w:t>
            </w:r>
          </w:p>
          <w:p>
            <w:pPr>
              <w:ind w:firstLine="315" w:firstLineChars="150"/>
              <w:jc w:val="left"/>
              <w:rPr>
                <w:rFonts w:hint="eastAsia" w:ascii="宋体" w:hAnsi="宋体" w:eastAsia="宋体" w:cs="宋体"/>
                <w:sz w:val="21"/>
                <w:szCs w:val="21"/>
              </w:rPr>
            </w:pPr>
            <w:r>
              <w:rPr>
                <w:rFonts w:hint="eastAsia" w:ascii="宋体" w:hAnsi="宋体" w:eastAsia="宋体" w:cs="宋体"/>
                <w:sz w:val="21"/>
                <w:szCs w:val="21"/>
              </w:rPr>
              <w:t>对医院方在特殊业务场景中单边账的交易流水汇总下载，辅助医院财务管理人员完成线下对账工作。</w:t>
            </w:r>
          </w:p>
          <w:p>
            <w:pPr>
              <w:ind w:firstLine="315" w:firstLineChars="150"/>
              <w:jc w:val="left"/>
              <w:rPr>
                <w:rFonts w:hint="eastAsia" w:ascii="宋体" w:hAnsi="宋体" w:eastAsia="宋体" w:cs="宋体"/>
                <w:sz w:val="21"/>
                <w:szCs w:val="21"/>
              </w:rPr>
            </w:pPr>
            <w:r>
              <w:rPr>
                <w:rFonts w:hint="eastAsia" w:ascii="宋体" w:hAnsi="宋体" w:eastAsia="宋体" w:cs="宋体"/>
                <w:sz w:val="21"/>
                <w:szCs w:val="21"/>
              </w:rPr>
              <w:t>提供图文化的对账总览，对于平账总览能够下载打印，辅助远方财务交账。</w:t>
            </w:r>
          </w:p>
          <w:p>
            <w:pPr>
              <w:ind w:firstLine="315" w:firstLineChars="150"/>
              <w:jc w:val="left"/>
              <w:rPr>
                <w:rFonts w:hint="eastAsia" w:ascii="宋体" w:hAnsi="宋体" w:eastAsia="宋体" w:cs="宋体"/>
                <w:sz w:val="21"/>
                <w:szCs w:val="21"/>
              </w:rPr>
            </w:pPr>
            <w:r>
              <w:rPr>
                <w:rFonts w:hint="eastAsia" w:ascii="宋体" w:hAnsi="宋体" w:eastAsia="宋体" w:cs="宋体"/>
                <w:sz w:val="21"/>
                <w:szCs w:val="21"/>
              </w:rPr>
              <w:t>提供差账明细清单，辅助院方快速准确定位差账原因；差账清单能够下载打印，院方安排专员进行差账处理。</w:t>
            </w:r>
          </w:p>
          <w:p>
            <w:pPr>
              <w:ind w:firstLine="315" w:firstLineChars="150"/>
              <w:jc w:val="left"/>
              <w:rPr>
                <w:rFonts w:hint="eastAsia" w:ascii="宋体" w:hAnsi="宋体" w:eastAsia="宋体" w:cs="宋体"/>
                <w:sz w:val="21"/>
                <w:szCs w:val="21"/>
              </w:rPr>
            </w:pPr>
            <w:r>
              <w:rPr>
                <w:rFonts w:hint="eastAsia" w:ascii="宋体" w:hAnsi="宋体" w:eastAsia="宋体" w:cs="宋体"/>
                <w:sz w:val="21"/>
                <w:szCs w:val="21"/>
              </w:rPr>
              <w:t>支持多级权限管理，并能按照角色分配不同的访问和操作权限。</w:t>
            </w:r>
          </w:p>
          <w:p>
            <w:pPr>
              <w:ind w:firstLine="315" w:firstLineChars="150"/>
              <w:jc w:val="left"/>
              <w:rPr>
                <w:rFonts w:hint="eastAsia" w:ascii="宋体" w:hAnsi="宋体" w:eastAsia="宋体" w:cs="宋体"/>
                <w:sz w:val="21"/>
                <w:szCs w:val="21"/>
              </w:rPr>
            </w:pPr>
            <w:r>
              <w:rPr>
                <w:rFonts w:hint="eastAsia" w:ascii="宋体" w:hAnsi="宋体" w:eastAsia="宋体" w:cs="宋体"/>
                <w:sz w:val="21"/>
                <w:szCs w:val="21"/>
              </w:rPr>
              <w:t>支持对账记录和对账日志的长期存储和导出分析，协助医院方优化支付流程及业务生产系统功能完善。</w:t>
            </w:r>
          </w:p>
          <w:p>
            <w:pPr>
              <w:ind w:firstLine="315" w:firstLineChars="150"/>
              <w:jc w:val="left"/>
              <w:rPr>
                <w:rFonts w:hint="eastAsia" w:ascii="宋体" w:hAnsi="宋体" w:eastAsia="宋体" w:cs="宋体"/>
                <w:sz w:val="21"/>
                <w:szCs w:val="21"/>
              </w:rPr>
            </w:pPr>
            <w:r>
              <w:rPr>
                <w:rFonts w:hint="eastAsia" w:ascii="宋体" w:hAnsi="宋体" w:eastAsia="宋体" w:cs="宋体"/>
                <w:sz w:val="21"/>
                <w:szCs w:val="21"/>
              </w:rPr>
              <w:t>对接院方的短信平台，支持分权限发送每日财务对账单到指定人群。</w:t>
            </w:r>
            <w:bookmarkEnd w:id="0"/>
            <w:bookmarkEnd w:id="1"/>
          </w:p>
          <w:p>
            <w:pPr>
              <w:ind w:firstLine="315" w:firstLineChars="150"/>
              <w:jc w:val="left"/>
              <w:rPr>
                <w:rFonts w:hint="eastAsia" w:ascii="宋体" w:hAnsi="宋体" w:eastAsia="宋体" w:cs="宋体"/>
                <w:sz w:val="21"/>
                <w:szCs w:val="21"/>
              </w:rPr>
            </w:pPr>
            <w:r>
              <w:rPr>
                <w:rFonts w:hint="eastAsia" w:ascii="宋体" w:hAnsi="宋体" w:eastAsia="宋体" w:cs="宋体"/>
                <w:sz w:val="21"/>
                <w:szCs w:val="21"/>
              </w:rPr>
              <w:t>对账平台必须长期稳定运行，对账平台数据必须精准可溯源。</w:t>
            </w:r>
          </w:p>
          <w:p>
            <w:pPr>
              <w:ind w:firstLine="315" w:firstLineChars="150"/>
              <w:jc w:val="left"/>
              <w:rPr>
                <w:rFonts w:hint="eastAsia" w:ascii="宋体" w:hAnsi="宋体" w:eastAsia="宋体" w:cs="宋体"/>
                <w:sz w:val="21"/>
                <w:szCs w:val="21"/>
              </w:rPr>
            </w:pPr>
            <w:r>
              <w:rPr>
                <w:rFonts w:hint="eastAsia" w:ascii="宋体" w:hAnsi="宋体" w:eastAsia="宋体" w:cs="宋体"/>
                <w:sz w:val="21"/>
                <w:szCs w:val="21"/>
              </w:rPr>
              <w:t>对账平台需支持院方在财务月度内完成差账平账、财务交账，避免跨财务月进行调账处理。</w:t>
            </w:r>
          </w:p>
          <w:p>
            <w:pPr>
              <w:ind w:firstLine="315" w:firstLineChars="150"/>
              <w:jc w:val="left"/>
              <w:rPr>
                <w:rFonts w:hint="eastAsia" w:ascii="宋体" w:hAnsi="宋体" w:eastAsia="宋体" w:cs="宋体"/>
                <w:sz w:val="21"/>
                <w:szCs w:val="21"/>
              </w:rPr>
            </w:pPr>
            <w:r>
              <w:rPr>
                <w:rFonts w:hint="eastAsia" w:ascii="宋体" w:hAnsi="宋体" w:eastAsia="宋体" w:cs="宋体"/>
                <w:sz w:val="21"/>
                <w:szCs w:val="21"/>
              </w:rPr>
              <w:t>每月初1个工作日内完成上月结账工作。</w:t>
            </w:r>
          </w:p>
          <w:p>
            <w:pPr>
              <w:ind w:firstLine="315" w:firstLineChars="150"/>
              <w:jc w:val="left"/>
              <w:rPr>
                <w:rFonts w:hint="eastAsia" w:ascii="宋体" w:hAnsi="宋体" w:eastAsia="宋体" w:cs="宋体"/>
                <w:color w:val="000000" w:themeColor="text1"/>
                <w:sz w:val="21"/>
                <w:szCs w:val="21"/>
              </w:rPr>
            </w:pPr>
            <w:r>
              <w:rPr>
                <w:rFonts w:hint="eastAsia" w:ascii="宋体" w:hAnsi="宋体" w:eastAsia="宋体" w:cs="宋体"/>
                <w:sz w:val="21"/>
                <w:szCs w:val="21"/>
              </w:rPr>
              <w:t>对账发现问题,协调解决率100%。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9679" w:type="dxa"/>
            <w:gridSpan w:val="6"/>
            <w:vAlign w:val="center"/>
          </w:tcPr>
          <w:p>
            <w:pPr>
              <w:jc w:val="center"/>
              <w:rPr>
                <w:rFonts w:hint="eastAsia" w:ascii="宋体" w:hAnsi="宋体" w:eastAsia="宋体" w:cs="宋体"/>
                <w:sz w:val="21"/>
                <w:szCs w:val="21"/>
              </w:rPr>
            </w:pPr>
            <w:r>
              <w:rPr>
                <w:rFonts w:hint="eastAsia" w:ascii="宋体" w:hAnsi="宋体" w:eastAsia="宋体" w:cs="宋体"/>
                <w:b/>
                <w:sz w:val="21"/>
                <w:szCs w:val="21"/>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80" w:type="dxa"/>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序号</w:t>
            </w:r>
          </w:p>
        </w:tc>
        <w:tc>
          <w:tcPr>
            <w:tcW w:w="2019" w:type="dxa"/>
            <w:gridSpan w:val="3"/>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描述</w:t>
            </w:r>
          </w:p>
        </w:tc>
        <w:tc>
          <w:tcPr>
            <w:tcW w:w="6780" w:type="dxa"/>
            <w:gridSpan w:val="2"/>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880" w:type="dxa"/>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1</w:t>
            </w:r>
          </w:p>
        </w:tc>
        <w:tc>
          <w:tcPr>
            <w:tcW w:w="2019"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统一对账平台</w:t>
            </w:r>
          </w:p>
        </w:tc>
        <w:tc>
          <w:tcPr>
            <w:tcW w:w="6780" w:type="dxa"/>
            <w:gridSpan w:val="2"/>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9679" w:type="dxa"/>
            <w:gridSpan w:val="6"/>
            <w:vAlign w:val="center"/>
          </w:tcPr>
          <w:p>
            <w:pPr>
              <w:jc w:val="center"/>
              <w:rPr>
                <w:rFonts w:hint="eastAsia" w:ascii="宋体" w:hAnsi="宋体" w:eastAsia="宋体" w:cs="宋体"/>
                <w:sz w:val="21"/>
                <w:szCs w:val="21"/>
              </w:rPr>
            </w:pPr>
            <w:r>
              <w:rPr>
                <w:rFonts w:hint="eastAsia" w:ascii="宋体" w:hAnsi="宋体" w:eastAsia="宋体" w:cs="宋体"/>
                <w:b/>
                <w:sz w:val="21"/>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8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28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指标名称</w:t>
            </w:r>
          </w:p>
        </w:tc>
        <w:tc>
          <w:tcPr>
            <w:tcW w:w="593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83" w:type="dxa"/>
            <w:gridSpan w:val="2"/>
            <w:vAlign w:val="center"/>
          </w:tcPr>
          <w:p>
            <w:pPr>
              <w:jc w:val="center"/>
              <w:rPr>
                <w:rFonts w:hint="eastAsia" w:ascii="宋体" w:hAnsi="宋体" w:eastAsia="宋体" w:cs="宋体"/>
                <w:sz w:val="21"/>
                <w:szCs w:val="21"/>
              </w:rPr>
            </w:pPr>
            <w:bookmarkStart w:id="2" w:name="_Hlk93994935"/>
            <w:r>
              <w:rPr>
                <w:rFonts w:hint="eastAsia" w:ascii="宋体" w:hAnsi="宋体" w:eastAsia="宋体" w:cs="宋体"/>
                <w:sz w:val="21"/>
                <w:szCs w:val="21"/>
              </w:rPr>
              <w:t>1</w:t>
            </w:r>
          </w:p>
        </w:tc>
        <w:tc>
          <w:tcPr>
            <w:tcW w:w="28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用户账户管理</w:t>
            </w: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拥有独立的完整的用户管理体系，能够创建用户，包括用户名、密码及科室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exact"/>
        </w:trPr>
        <w:tc>
          <w:tcPr>
            <w:tcW w:w="88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28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用户权限管理</w:t>
            </w: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支持单点登陆功能，支持分配的指定角色具备对应的系统权限（转账、退款等权限）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trPr>
        <w:tc>
          <w:tcPr>
            <w:tcW w:w="88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28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用户登陆日志</w:t>
            </w: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记录平台使用者的登录信息：日期、IP地址等</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trPr>
        <w:tc>
          <w:tcPr>
            <w:tcW w:w="88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28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★多渠道交易数据对账</w:t>
            </w: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三方交易流水和医院交易流水的双向对比实现对账功能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883" w:type="dxa"/>
            <w:gridSpan w:val="2"/>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2861" w:type="dxa"/>
            <w:gridSpan w:val="3"/>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★自动对账</w:t>
            </w: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实现每小时自动对账功能：可根据日期、支付类型自动统计出每小时HIS交易金额与支付平台的交易金额数据，统计出交易差额金额，显示单边账订单明细信息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83" w:type="dxa"/>
            <w:gridSpan w:val="2"/>
            <w:vMerge w:val="continue"/>
            <w:vAlign w:val="center"/>
          </w:tcPr>
          <w:p>
            <w:pPr>
              <w:jc w:val="center"/>
              <w:rPr>
                <w:rFonts w:hint="eastAsia" w:ascii="宋体" w:hAnsi="宋体" w:eastAsia="宋体" w:cs="宋体"/>
                <w:color w:val="000000" w:themeColor="text1"/>
                <w:sz w:val="21"/>
                <w:szCs w:val="21"/>
              </w:rPr>
            </w:pPr>
          </w:p>
        </w:tc>
        <w:tc>
          <w:tcPr>
            <w:tcW w:w="2861" w:type="dxa"/>
            <w:gridSpan w:val="3"/>
            <w:vMerge w:val="continue"/>
            <w:vAlign w:val="center"/>
          </w:tcPr>
          <w:p>
            <w:pPr>
              <w:jc w:val="center"/>
              <w:rPr>
                <w:rFonts w:hint="eastAsia" w:ascii="宋体" w:hAnsi="宋体" w:eastAsia="宋体" w:cs="宋体"/>
                <w:color w:val="000000" w:themeColor="text1"/>
                <w:sz w:val="21"/>
                <w:szCs w:val="21"/>
              </w:rPr>
            </w:pP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支持T+0对账，当日出现异常订单，系统自动标记，并推送异常通知，可在线实时退款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trPr>
        <w:tc>
          <w:tcPr>
            <w:tcW w:w="883" w:type="dxa"/>
            <w:gridSpan w:val="2"/>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2861" w:type="dxa"/>
            <w:gridSpan w:val="3"/>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★退款管理</w:t>
            </w: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财务人员进行单边账处理时，可进行退款审核，审核权限可以控制，审核通过后方可退款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883" w:type="dxa"/>
            <w:gridSpan w:val="2"/>
            <w:vMerge w:val="continue"/>
            <w:vAlign w:val="center"/>
          </w:tcPr>
          <w:p>
            <w:pPr>
              <w:jc w:val="center"/>
              <w:rPr>
                <w:rFonts w:hint="eastAsia" w:ascii="宋体" w:hAnsi="宋体" w:eastAsia="宋体" w:cs="宋体"/>
                <w:sz w:val="21"/>
                <w:szCs w:val="21"/>
              </w:rPr>
            </w:pPr>
          </w:p>
        </w:tc>
        <w:tc>
          <w:tcPr>
            <w:tcW w:w="2861" w:type="dxa"/>
            <w:gridSpan w:val="3"/>
            <w:vMerge w:val="continue"/>
            <w:vAlign w:val="center"/>
          </w:tcPr>
          <w:p>
            <w:pPr>
              <w:jc w:val="center"/>
              <w:rPr>
                <w:rFonts w:hint="eastAsia" w:ascii="宋体" w:hAnsi="宋体" w:eastAsia="宋体" w:cs="宋体"/>
                <w:sz w:val="21"/>
                <w:szCs w:val="21"/>
              </w:rPr>
            </w:pP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当单边账退款处理成功，可自动发送处理成功消息至相关人员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exact"/>
        </w:trPr>
        <w:tc>
          <w:tcPr>
            <w:tcW w:w="883" w:type="dxa"/>
            <w:gridSpan w:val="2"/>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2861" w:type="dxa"/>
            <w:gridSpan w:val="3"/>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＃交易明细管理</w:t>
            </w: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支持监控实时交易数据，自动展示实时交易过程中产生的单边账单，方便收费员判断异常账单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trPr>
        <w:tc>
          <w:tcPr>
            <w:tcW w:w="883" w:type="dxa"/>
            <w:gridSpan w:val="2"/>
            <w:vMerge w:val="continue"/>
            <w:vAlign w:val="center"/>
          </w:tcPr>
          <w:p>
            <w:pPr>
              <w:jc w:val="left"/>
              <w:rPr>
                <w:rFonts w:hint="eastAsia" w:ascii="宋体" w:hAnsi="宋体" w:eastAsia="宋体" w:cs="宋体"/>
                <w:color w:val="000000" w:themeColor="text1"/>
                <w:sz w:val="21"/>
                <w:szCs w:val="21"/>
              </w:rPr>
            </w:pPr>
          </w:p>
        </w:tc>
        <w:tc>
          <w:tcPr>
            <w:tcW w:w="2861" w:type="dxa"/>
            <w:gridSpan w:val="3"/>
            <w:vMerge w:val="continue"/>
            <w:vAlign w:val="center"/>
          </w:tcPr>
          <w:p>
            <w:pPr>
              <w:jc w:val="center"/>
              <w:rPr>
                <w:rFonts w:hint="eastAsia" w:ascii="宋体" w:hAnsi="宋体" w:eastAsia="宋体" w:cs="宋体"/>
                <w:color w:val="000000" w:themeColor="text1"/>
                <w:sz w:val="21"/>
                <w:szCs w:val="21"/>
              </w:rPr>
            </w:pP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同时可根据日期、订单号、患者姓名、金额、支付状态、订单状态等信息进行交易明细数据筛选查询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trPr>
        <w:tc>
          <w:tcPr>
            <w:tcW w:w="883" w:type="dxa"/>
            <w:gridSpan w:val="2"/>
            <w:vMerge w:val="continue"/>
            <w:vAlign w:val="center"/>
          </w:tcPr>
          <w:p>
            <w:pPr>
              <w:jc w:val="left"/>
              <w:rPr>
                <w:rFonts w:hint="eastAsia" w:ascii="宋体" w:hAnsi="宋体" w:eastAsia="宋体" w:cs="宋体"/>
                <w:color w:val="000000" w:themeColor="text1"/>
                <w:sz w:val="21"/>
                <w:szCs w:val="21"/>
              </w:rPr>
            </w:pPr>
          </w:p>
        </w:tc>
        <w:tc>
          <w:tcPr>
            <w:tcW w:w="2861" w:type="dxa"/>
            <w:gridSpan w:val="3"/>
            <w:vMerge w:val="continue"/>
            <w:vAlign w:val="center"/>
          </w:tcPr>
          <w:p>
            <w:pPr>
              <w:jc w:val="center"/>
              <w:rPr>
                <w:rFonts w:hint="eastAsia" w:ascii="宋体" w:hAnsi="宋体" w:eastAsia="宋体" w:cs="宋体"/>
                <w:color w:val="000000" w:themeColor="text1"/>
                <w:sz w:val="21"/>
                <w:szCs w:val="21"/>
              </w:rPr>
            </w:pP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已退款交易可根据日期、支付类型，查询所有交易信息的退款交易明细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88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p>
        </w:tc>
        <w:tc>
          <w:tcPr>
            <w:tcW w:w="28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＃单边账置顶</w:t>
            </w: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当系统出现单边账时，可实现单边账账单置顶显示，并用不同颜色标注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trPr>
        <w:tc>
          <w:tcPr>
            <w:tcW w:w="88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p>
        </w:tc>
        <w:tc>
          <w:tcPr>
            <w:tcW w:w="28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＃数据总体展示</w:t>
            </w: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交易数据的展示，以可视化的方式展示一段时间内的支付交易趋势图，各个支付方式的占比图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exact"/>
        </w:trPr>
        <w:tc>
          <w:tcPr>
            <w:tcW w:w="88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c>
          <w:tcPr>
            <w:tcW w:w="28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★平台报表管理</w:t>
            </w: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可按月度、季度、年度等不同维度汇总各种支付方式的交易金额、笔数等数据，可根据医院的报表需求定制报表功能。可导出报表数据EXCEL表，支持在线打印功能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trPr>
        <w:tc>
          <w:tcPr>
            <w:tcW w:w="88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11</w:t>
            </w:r>
          </w:p>
        </w:tc>
        <w:tc>
          <w:tcPr>
            <w:tcW w:w="28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★HIS报表</w:t>
            </w:r>
          </w:p>
        </w:tc>
        <w:tc>
          <w:tcPr>
            <w:tcW w:w="5935" w:type="dxa"/>
            <w:vAlign w:val="center"/>
          </w:tcPr>
          <w:p>
            <w:pPr>
              <w:jc w:val="left"/>
              <w:rPr>
                <w:rFonts w:hint="eastAsia" w:ascii="宋体" w:hAnsi="宋体" w:eastAsia="宋体" w:cs="宋体"/>
                <w:color w:val="000000" w:themeColor="text1"/>
                <w:sz w:val="21"/>
                <w:szCs w:val="21"/>
              </w:rPr>
            </w:pPr>
            <w:r>
              <w:rPr>
                <w:rFonts w:hint="eastAsia" w:ascii="宋体" w:hAnsi="宋体" w:eastAsia="宋体" w:cs="宋体"/>
                <w:sz w:val="21"/>
                <w:szCs w:val="21"/>
              </w:rPr>
              <w:t>抽取HIS交易数据，生成HIS交易数据报表，可按月度、季度、年度等不同维度进行统计，可导出报表数据EXCEL表，支持在线打印功能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exact"/>
        </w:trPr>
        <w:tc>
          <w:tcPr>
            <w:tcW w:w="88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12</w:t>
            </w:r>
          </w:p>
        </w:tc>
        <w:tc>
          <w:tcPr>
            <w:tcW w:w="28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收费员报表</w:t>
            </w: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抽取收费员当日收费明细数据，生成收费员收费数据报表，可展示收费次数，不同收费方式收费金额等信息，可按月度、季度、年度等不同维度进行统计，可导出报表数据EXCEL表，支持在线打印功能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trPr>
        <w:tc>
          <w:tcPr>
            <w:tcW w:w="88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13</w:t>
            </w:r>
          </w:p>
        </w:tc>
        <w:tc>
          <w:tcPr>
            <w:tcW w:w="28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报表数据发送</w:t>
            </w: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能够接入院方的短信平台，按照定制需求发送对应报表到指定人员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exact"/>
        </w:trPr>
        <w:tc>
          <w:tcPr>
            <w:tcW w:w="88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14</w:t>
            </w:r>
          </w:p>
        </w:tc>
        <w:tc>
          <w:tcPr>
            <w:tcW w:w="28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门诊汇总统计</w:t>
            </w: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抽门诊交易数据，可汇总展示门诊医疗手术总额，各个支付方式收费金额，各个银行应收金额等信息，可按年度、季度、月度、当日等不同维度进行统计，支出导出、打印功能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trPr>
        <w:tc>
          <w:tcPr>
            <w:tcW w:w="88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15</w:t>
            </w:r>
          </w:p>
        </w:tc>
        <w:tc>
          <w:tcPr>
            <w:tcW w:w="28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门诊挂号统计</w:t>
            </w: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抽取门诊挂号数据，可统计门诊挂号数量，门诊挂号收费金额，各个支付方式收费金额等信息，可按年度、季度、月度、当日等不同维度进行统计，支出导出、打印功能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exact"/>
        </w:trPr>
        <w:tc>
          <w:tcPr>
            <w:tcW w:w="883" w:type="dxa"/>
            <w:gridSpan w:val="2"/>
            <w:vMerge w:val="restart"/>
            <w:vAlign w:val="center"/>
          </w:tcPr>
          <w:p>
            <w:pPr>
              <w:jc w:val="cente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16</w:t>
            </w:r>
          </w:p>
        </w:tc>
        <w:tc>
          <w:tcPr>
            <w:tcW w:w="2861" w:type="dxa"/>
            <w:gridSpan w:val="3"/>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★接口管理</w:t>
            </w: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可查询各支付接口的状态，支付时间，请求交易次数，过滤次数，正常、异常次数等支付状态值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883" w:type="dxa"/>
            <w:gridSpan w:val="2"/>
            <w:vMerge w:val="continue"/>
            <w:vAlign w:val="center"/>
          </w:tcPr>
          <w:p>
            <w:pPr>
              <w:jc w:val="left"/>
              <w:rPr>
                <w:rFonts w:hint="eastAsia" w:ascii="宋体" w:hAnsi="宋体" w:eastAsia="宋体" w:cs="宋体"/>
                <w:color w:val="000000" w:themeColor="text1"/>
                <w:sz w:val="21"/>
                <w:szCs w:val="21"/>
              </w:rPr>
            </w:pPr>
          </w:p>
        </w:tc>
        <w:tc>
          <w:tcPr>
            <w:tcW w:w="2861" w:type="dxa"/>
            <w:gridSpan w:val="3"/>
            <w:vMerge w:val="continue"/>
            <w:vAlign w:val="center"/>
          </w:tcPr>
          <w:p>
            <w:pPr>
              <w:jc w:val="center"/>
              <w:rPr>
                <w:rFonts w:hint="eastAsia" w:ascii="宋体" w:hAnsi="宋体" w:eastAsia="宋体" w:cs="宋体"/>
                <w:color w:val="000000" w:themeColor="text1"/>
                <w:sz w:val="21"/>
                <w:szCs w:val="21"/>
              </w:rPr>
            </w:pP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可实时查询相关接口的调用信息：请求参数、响应参数等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trPr>
        <w:tc>
          <w:tcPr>
            <w:tcW w:w="883" w:type="dxa"/>
            <w:gridSpan w:val="2"/>
            <w:vMerge w:val="continue"/>
            <w:vAlign w:val="center"/>
          </w:tcPr>
          <w:p>
            <w:pPr>
              <w:jc w:val="left"/>
              <w:rPr>
                <w:rFonts w:hint="eastAsia" w:ascii="宋体" w:hAnsi="宋体" w:eastAsia="宋体" w:cs="宋体"/>
                <w:color w:val="000000" w:themeColor="text1"/>
                <w:sz w:val="21"/>
                <w:szCs w:val="21"/>
              </w:rPr>
            </w:pPr>
          </w:p>
        </w:tc>
        <w:tc>
          <w:tcPr>
            <w:tcW w:w="2861" w:type="dxa"/>
            <w:gridSpan w:val="3"/>
            <w:vMerge w:val="continue"/>
            <w:vAlign w:val="center"/>
          </w:tcPr>
          <w:p>
            <w:pPr>
              <w:jc w:val="center"/>
              <w:rPr>
                <w:rFonts w:hint="eastAsia" w:ascii="宋体" w:hAnsi="宋体" w:eastAsia="宋体" w:cs="宋体"/>
                <w:color w:val="000000" w:themeColor="text1"/>
                <w:sz w:val="21"/>
                <w:szCs w:val="21"/>
              </w:rPr>
            </w:pPr>
          </w:p>
        </w:tc>
        <w:tc>
          <w:tcPr>
            <w:tcW w:w="5935" w:type="dxa"/>
            <w:vAlign w:val="center"/>
          </w:tcPr>
          <w:p>
            <w:pPr>
              <w:jc w:val="left"/>
              <w:rPr>
                <w:rFonts w:hint="eastAsia" w:ascii="宋体" w:hAnsi="宋体" w:eastAsia="宋体" w:cs="宋体"/>
                <w:color w:val="000000" w:themeColor="text1"/>
                <w:sz w:val="21"/>
                <w:szCs w:val="21"/>
              </w:rPr>
            </w:pPr>
            <w:r>
              <w:rPr>
                <w:rFonts w:hint="eastAsia" w:ascii="宋体" w:hAnsi="宋体" w:eastAsia="宋体" w:cs="宋体"/>
                <w:sz w:val="21"/>
                <w:szCs w:val="21"/>
              </w:rPr>
              <w:t>可提供需要的查询接口接入HIS系统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trPr>
        <w:tc>
          <w:tcPr>
            <w:tcW w:w="88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17</w:t>
            </w:r>
          </w:p>
        </w:tc>
        <w:tc>
          <w:tcPr>
            <w:tcW w:w="28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★对账分区管理</w:t>
            </w: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支持门诊收费对账、住院收费对账的业务分区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trPr>
        <w:tc>
          <w:tcPr>
            <w:tcW w:w="88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18</w:t>
            </w:r>
          </w:p>
        </w:tc>
        <w:tc>
          <w:tcPr>
            <w:tcW w:w="28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对账配置管理</w:t>
            </w: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根据对账功能需要，可配置、编辑各支付渠道的对账单数据抽取的路径、时间等信息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trPr>
        <w:tc>
          <w:tcPr>
            <w:tcW w:w="88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19</w:t>
            </w:r>
          </w:p>
        </w:tc>
        <w:tc>
          <w:tcPr>
            <w:tcW w:w="28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收费中心管理</w:t>
            </w: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针对医院无信息系统收费场景提供解决方案，并将该途径的资金一并纳入平台进行对账管理。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88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20</w:t>
            </w:r>
          </w:p>
        </w:tc>
        <w:tc>
          <w:tcPr>
            <w:tcW w:w="28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菜单管理</w:t>
            </w: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可编辑配置平台的菜单功能列表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trPr>
        <w:tc>
          <w:tcPr>
            <w:tcW w:w="88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21</w:t>
            </w:r>
          </w:p>
        </w:tc>
        <w:tc>
          <w:tcPr>
            <w:tcW w:w="28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任务参数</w:t>
            </w: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可配置各对账数据源的执行信息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trPr>
        <w:tc>
          <w:tcPr>
            <w:tcW w:w="9679" w:type="dxa"/>
            <w:gridSpan w:val="6"/>
            <w:vAlign w:val="center"/>
          </w:tcPr>
          <w:p>
            <w:pPr>
              <w:jc w:val="center"/>
              <w:rPr>
                <w:rFonts w:hint="eastAsia" w:ascii="宋体" w:hAnsi="宋体" w:eastAsia="宋体" w:cs="宋体"/>
                <w:sz w:val="21"/>
                <w:szCs w:val="21"/>
              </w:rPr>
            </w:pPr>
            <w:r>
              <w:rPr>
                <w:rFonts w:hint="eastAsia" w:ascii="宋体" w:hAnsi="宋体" w:eastAsia="宋体" w:cs="宋体"/>
                <w:b/>
                <w:sz w:val="21"/>
                <w:szCs w:val="21"/>
              </w:rPr>
              <w:t>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trPr>
        <w:tc>
          <w:tcPr>
            <w:tcW w:w="88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28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★质保期</w:t>
            </w: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自合同签订日起 3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trPr>
        <w:tc>
          <w:tcPr>
            <w:tcW w:w="88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28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快速响应</w:t>
            </w:r>
          </w:p>
        </w:tc>
        <w:tc>
          <w:tcPr>
            <w:tcW w:w="5935" w:type="dxa"/>
            <w:vAlign w:val="center"/>
          </w:tcPr>
          <w:p>
            <w:pPr>
              <w:rPr>
                <w:rFonts w:hint="eastAsia" w:ascii="宋体" w:hAnsi="宋体" w:eastAsia="宋体" w:cs="宋体"/>
                <w:sz w:val="21"/>
                <w:szCs w:val="21"/>
              </w:rPr>
            </w:pPr>
            <w:r>
              <w:rPr>
                <w:rFonts w:hint="eastAsia" w:ascii="宋体" w:hAnsi="宋体" w:eastAsia="宋体" w:cs="宋体"/>
                <w:sz w:val="21"/>
                <w:szCs w:val="21"/>
              </w:rPr>
              <w:t>医院对账问题15分钟内及时响应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88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28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培训支持</w:t>
            </w: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现场培训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exact"/>
        </w:trPr>
        <w:tc>
          <w:tcPr>
            <w:tcW w:w="88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28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维修响应</w:t>
            </w:r>
          </w:p>
        </w:tc>
        <w:tc>
          <w:tcPr>
            <w:tcW w:w="5935"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1.7*24小时保证电话、钉钉、微信、QQ技术支持。</w:t>
            </w:r>
          </w:p>
          <w:p>
            <w:pPr>
              <w:jc w:val="left"/>
              <w:rPr>
                <w:rFonts w:hint="eastAsia" w:ascii="宋体" w:hAnsi="宋体" w:eastAsia="宋体" w:cs="宋体"/>
                <w:sz w:val="21"/>
                <w:szCs w:val="21"/>
              </w:rPr>
            </w:pPr>
            <w:r>
              <w:rPr>
                <w:rFonts w:hint="eastAsia" w:ascii="宋体" w:hAnsi="宋体" w:eastAsia="宋体" w:cs="宋体"/>
                <w:sz w:val="21"/>
                <w:szCs w:val="21"/>
              </w:rPr>
              <w:t>2.接到故障后15分钟内安排调查。</w:t>
            </w:r>
          </w:p>
          <w:p>
            <w:pPr>
              <w:jc w:val="left"/>
              <w:rPr>
                <w:rFonts w:hint="eastAsia" w:ascii="宋体" w:hAnsi="宋体" w:eastAsia="宋体" w:cs="宋体"/>
                <w:sz w:val="21"/>
                <w:szCs w:val="21"/>
              </w:rPr>
            </w:pPr>
            <w:r>
              <w:rPr>
                <w:rFonts w:hint="eastAsia" w:ascii="宋体" w:hAnsi="宋体" w:eastAsia="宋体" w:cs="宋体"/>
                <w:sz w:val="21"/>
                <w:szCs w:val="21"/>
              </w:rPr>
              <w:t>3.乙方保证每2个月内定期为甲方进行技术巡检、故障检查和维护。</w:t>
            </w:r>
          </w:p>
          <w:p>
            <w:pPr>
              <w:jc w:val="left"/>
              <w:rPr>
                <w:rFonts w:hint="eastAsia" w:ascii="宋体" w:hAnsi="宋体" w:eastAsia="宋体" w:cs="宋体"/>
                <w:sz w:val="21"/>
                <w:szCs w:val="21"/>
              </w:rPr>
            </w:pPr>
            <w:r>
              <w:rPr>
                <w:rFonts w:hint="eastAsia" w:ascii="宋体" w:hAnsi="宋体" w:eastAsia="宋体" w:cs="宋体"/>
                <w:sz w:val="21"/>
                <w:szCs w:val="21"/>
              </w:rPr>
              <w:t>4.免费维护仅限于应用软件固有的明显缺陷或甲方提出的需求要求中不涉及软件底层库结构的修改，若涉及底层库结构等更改则双方应另行协商签订新协议。对于应用软件维护可通过远程网络等途径提供维护，确保系统安全平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88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2861"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系统部署完成时间</w:t>
            </w:r>
          </w:p>
        </w:tc>
        <w:tc>
          <w:tcPr>
            <w:tcW w:w="5935" w:type="dxa"/>
            <w:vAlign w:val="center"/>
          </w:tcPr>
          <w:p>
            <w:pPr>
              <w:rPr>
                <w:rFonts w:hint="eastAsia" w:ascii="宋体" w:hAnsi="宋体" w:eastAsia="宋体" w:cs="宋体"/>
                <w:sz w:val="21"/>
                <w:szCs w:val="21"/>
              </w:rPr>
            </w:pPr>
            <w:r>
              <w:rPr>
                <w:rFonts w:hint="eastAsia" w:ascii="宋体" w:hAnsi="宋体" w:eastAsia="宋体" w:cs="宋体"/>
                <w:sz w:val="21"/>
                <w:szCs w:val="21"/>
              </w:rPr>
              <w:t>合同签订后60天内</w:t>
            </w:r>
          </w:p>
        </w:tc>
      </w:tr>
    </w:tbl>
    <w:p>
      <w:pPr>
        <w:keepNext w:val="0"/>
        <w:keepLines w:val="0"/>
        <w:widowControl w:val="0"/>
        <w:suppressLineNumbers w:val="0"/>
        <w:spacing w:before="0" w:beforeAutospacing="0" w:after="0" w:afterAutospacing="0"/>
        <w:ind w:left="720" w:right="0" w:hanging="720" w:hangingChars="300"/>
        <w:jc w:val="both"/>
        <w:rPr>
          <w:rFonts w:ascii="仿宋_GB2312" w:eastAsia="仿宋_GB2312"/>
          <w:sz w:val="24"/>
        </w:rPr>
      </w:pPr>
      <w:r>
        <w:rPr>
          <w:rFonts w:hint="eastAsia" w:ascii="仿宋_GB2312" w:hAnsi="Times New Roman" w:eastAsia="仿宋_GB2312" w:cs="仿宋_GB2312"/>
          <w:kern w:val="2"/>
          <w:sz w:val="24"/>
          <w:szCs w:val="24"/>
          <w:lang w:val="en-US" w:eastAsia="zh-CN" w:bidi="ar"/>
        </w:rPr>
        <w:t>说明: 功能要求、配置清单为必备要求，从功能角度提出；技术参数应体现设备档次要求，参数中区分“</w:t>
      </w:r>
      <w:bookmarkStart w:id="3" w:name="OLE_LINK3"/>
      <w:bookmarkStart w:id="4" w:name="OLE_LINK1"/>
      <w:r>
        <w:rPr>
          <w:rFonts w:hint="eastAsia" w:ascii="仿宋_GB2312" w:hAnsi="Times New Roman" w:eastAsia="仿宋_GB2312" w:cs="仿宋_GB2312"/>
          <w:kern w:val="2"/>
          <w:sz w:val="24"/>
          <w:szCs w:val="24"/>
          <w:lang w:val="en-US" w:eastAsia="zh-CN" w:bidi="ar"/>
        </w:rPr>
        <w:t>★</w:t>
      </w:r>
      <w:bookmarkEnd w:id="3"/>
      <w:bookmarkEnd w:id="4"/>
      <w:r>
        <w:rPr>
          <w:rFonts w:hint="eastAsia" w:ascii="仿宋_GB2312" w:hAnsi="Times New Roman" w:eastAsia="仿宋_GB2312" w:cs="仿宋_GB2312"/>
          <w:kern w:val="2"/>
          <w:sz w:val="24"/>
          <w:szCs w:val="24"/>
          <w:lang w:val="en-US" w:eastAsia="zh-CN" w:bidi="ar"/>
        </w:rPr>
        <w:t>”、“</w:t>
      </w:r>
      <w:bookmarkStart w:id="5" w:name="OLE_LINK5"/>
      <w:bookmarkStart w:id="6" w:name="OLE_LINK4"/>
      <w:r>
        <w:rPr>
          <w:rFonts w:hint="eastAsia" w:ascii="仿宋_GB2312" w:hAnsi="Times New Roman" w:eastAsia="仿宋_GB2312" w:cs="仿宋_GB2312"/>
          <w:b/>
          <w:bCs w:val="0"/>
          <w:kern w:val="2"/>
          <w:sz w:val="24"/>
          <w:szCs w:val="24"/>
          <w:lang w:val="en-US" w:eastAsia="zh-CN" w:bidi="ar"/>
        </w:rPr>
        <w:t>＃</w:t>
      </w:r>
      <w:bookmarkEnd w:id="5"/>
      <w:bookmarkEnd w:id="6"/>
      <w:r>
        <w:rPr>
          <w:rFonts w:hint="eastAsia" w:ascii="仿宋_GB2312" w:hAnsi="Times New Roman" w:eastAsia="仿宋_GB2312" w:cs="仿宋_GB2312"/>
          <w:kern w:val="2"/>
          <w:sz w:val="24"/>
          <w:szCs w:val="24"/>
          <w:lang w:val="en-US" w:eastAsia="zh-CN" w:bidi="ar"/>
        </w:rPr>
        <w:t>”参数，其中“★”参数为核心参数，为必须满足参数；“</w:t>
      </w:r>
      <w:bookmarkStart w:id="7" w:name="OLE_LINK2"/>
      <w:r>
        <w:rPr>
          <w:rFonts w:hint="eastAsia" w:ascii="仿宋_GB2312" w:hAnsi="Times New Roman" w:eastAsia="仿宋_GB2312" w:cs="仿宋_GB2312"/>
          <w:b/>
          <w:bCs w:val="0"/>
          <w:kern w:val="2"/>
          <w:sz w:val="24"/>
          <w:szCs w:val="24"/>
          <w:lang w:val="en-US" w:eastAsia="zh-CN" w:bidi="ar"/>
        </w:rPr>
        <w:t>＃</w:t>
      </w:r>
      <w:bookmarkEnd w:id="7"/>
      <w:r>
        <w:rPr>
          <w:rFonts w:hint="eastAsia" w:ascii="仿宋_GB2312" w:hAnsi="Times New Roman" w:eastAsia="仿宋_GB2312" w:cs="仿宋_GB2312"/>
          <w:kern w:val="2"/>
          <w:sz w:val="24"/>
          <w:szCs w:val="24"/>
          <w:lang w:val="en-US" w:eastAsia="zh-CN" w:bidi="ar"/>
        </w:rPr>
        <w:t>”参数为重要参数，在采购评审中分值较高。售后服务要求尽量填写，没有要求的可不填。</w:t>
      </w:r>
    </w:p>
    <w:sectPr>
      <w:pgSz w:w="11906" w:h="16838"/>
      <w:pgMar w:top="1134" w:right="1644" w:bottom="113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仿宋_GB2312">
    <w:altName w:val="仿宋"/>
    <w:panose1 w:val="02010609030101010101"/>
    <w:charset w:val="86"/>
    <w:family w:val="modern"/>
    <w:pitch w:val="default"/>
    <w:sig w:usb0="00000000" w:usb1="00000000" w:usb2="00000010" w:usb3="00000000" w:csb0="00040000" w:csb1="00000000"/>
    <w:embedRegular r:id="rId1" w:fontKey="{5F2C1C2C-8E7D-45EE-AF9E-1AE218E8223A}"/>
  </w:font>
  <w:font w:name="@宋体">
    <w:panose1 w:val="02010600030101010101"/>
    <w:charset w:val="86"/>
    <w:family w:val="auto"/>
    <w:pitch w:val="variable"/>
    <w:sig w:usb0="00000003" w:usb1="288F0000" w:usb2="00000006" w:usb3="00000000" w:csb0="00040001" w:csb1="00000000"/>
  </w:font>
  <w:font w:name="@仿宋_GB2312">
    <w:altName w:val="仿宋"/>
    <w:panose1 w:val="00000000000000000000"/>
    <w:charset w:val="86"/>
    <w:family w:val="auto"/>
    <w:pitch w:val="default"/>
    <w:sig w:usb0="00000001" w:usb1="080E0000" w:usb2="0000001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2" w:fontKey="{A8655810-9332-4FF9-8E33-0EA4CB97179E}"/>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MThhMTAzZmE3ZDIzOTZmZmEyMGE1OWY1NmFkNGExMDYifQ=="/>
  </w:docVars>
  <w:rsids>
    <w:rsidRoot w:val="005C7D3D"/>
    <w:rsid w:val="00010D8C"/>
    <w:rsid w:val="00012D86"/>
    <w:rsid w:val="00017A49"/>
    <w:rsid w:val="0003178F"/>
    <w:rsid w:val="000440BB"/>
    <w:rsid w:val="00051ACA"/>
    <w:rsid w:val="00053A52"/>
    <w:rsid w:val="00072A64"/>
    <w:rsid w:val="00093571"/>
    <w:rsid w:val="00096BD9"/>
    <w:rsid w:val="000A1139"/>
    <w:rsid w:val="000B51E7"/>
    <w:rsid w:val="000C5F82"/>
    <w:rsid w:val="000D0D84"/>
    <w:rsid w:val="000D151A"/>
    <w:rsid w:val="000D2C32"/>
    <w:rsid w:val="000D688C"/>
    <w:rsid w:val="000F7C87"/>
    <w:rsid w:val="00101515"/>
    <w:rsid w:val="001104B8"/>
    <w:rsid w:val="00132C9E"/>
    <w:rsid w:val="00151192"/>
    <w:rsid w:val="00151723"/>
    <w:rsid w:val="001627BD"/>
    <w:rsid w:val="00180888"/>
    <w:rsid w:val="001904FC"/>
    <w:rsid w:val="001E5A62"/>
    <w:rsid w:val="001F6BFC"/>
    <w:rsid w:val="00204A79"/>
    <w:rsid w:val="00231643"/>
    <w:rsid w:val="00293B07"/>
    <w:rsid w:val="002A0CC7"/>
    <w:rsid w:val="002B4C0D"/>
    <w:rsid w:val="002C6531"/>
    <w:rsid w:val="00311820"/>
    <w:rsid w:val="0031214F"/>
    <w:rsid w:val="00313DD6"/>
    <w:rsid w:val="003143D7"/>
    <w:rsid w:val="00342C0F"/>
    <w:rsid w:val="00364559"/>
    <w:rsid w:val="003711E2"/>
    <w:rsid w:val="00373924"/>
    <w:rsid w:val="003A5E76"/>
    <w:rsid w:val="003E1B77"/>
    <w:rsid w:val="004046EC"/>
    <w:rsid w:val="0045001E"/>
    <w:rsid w:val="004806C8"/>
    <w:rsid w:val="00495A55"/>
    <w:rsid w:val="004A05C9"/>
    <w:rsid w:val="004A4908"/>
    <w:rsid w:val="004B6E9A"/>
    <w:rsid w:val="004C7E2C"/>
    <w:rsid w:val="004D7923"/>
    <w:rsid w:val="004E4F05"/>
    <w:rsid w:val="00500B29"/>
    <w:rsid w:val="00501EE9"/>
    <w:rsid w:val="005331E4"/>
    <w:rsid w:val="00550478"/>
    <w:rsid w:val="00596253"/>
    <w:rsid w:val="005A029A"/>
    <w:rsid w:val="005C7D3D"/>
    <w:rsid w:val="005D159D"/>
    <w:rsid w:val="005E05FD"/>
    <w:rsid w:val="00601464"/>
    <w:rsid w:val="00611FAA"/>
    <w:rsid w:val="006145B6"/>
    <w:rsid w:val="006151F6"/>
    <w:rsid w:val="006209C8"/>
    <w:rsid w:val="0064432C"/>
    <w:rsid w:val="00654141"/>
    <w:rsid w:val="006B0A8F"/>
    <w:rsid w:val="006C5BDC"/>
    <w:rsid w:val="006D01E2"/>
    <w:rsid w:val="006D79DA"/>
    <w:rsid w:val="006E31E2"/>
    <w:rsid w:val="006E66B9"/>
    <w:rsid w:val="0072068B"/>
    <w:rsid w:val="007320FF"/>
    <w:rsid w:val="0075127D"/>
    <w:rsid w:val="007512A7"/>
    <w:rsid w:val="00774277"/>
    <w:rsid w:val="00776DEE"/>
    <w:rsid w:val="00782A00"/>
    <w:rsid w:val="00784C9B"/>
    <w:rsid w:val="0079277E"/>
    <w:rsid w:val="00793C9B"/>
    <w:rsid w:val="007A29C3"/>
    <w:rsid w:val="007C6891"/>
    <w:rsid w:val="007D23C9"/>
    <w:rsid w:val="007F5C2E"/>
    <w:rsid w:val="008073F4"/>
    <w:rsid w:val="00842AD9"/>
    <w:rsid w:val="008511BE"/>
    <w:rsid w:val="00866B97"/>
    <w:rsid w:val="00866DDD"/>
    <w:rsid w:val="00890E1D"/>
    <w:rsid w:val="008917BD"/>
    <w:rsid w:val="00897559"/>
    <w:rsid w:val="008B5C22"/>
    <w:rsid w:val="00925A96"/>
    <w:rsid w:val="00952280"/>
    <w:rsid w:val="00960CFC"/>
    <w:rsid w:val="009628E0"/>
    <w:rsid w:val="00983136"/>
    <w:rsid w:val="009A638F"/>
    <w:rsid w:val="009E2767"/>
    <w:rsid w:val="00A03FAA"/>
    <w:rsid w:val="00A05249"/>
    <w:rsid w:val="00A12B3E"/>
    <w:rsid w:val="00A423B8"/>
    <w:rsid w:val="00A6463A"/>
    <w:rsid w:val="00A65A01"/>
    <w:rsid w:val="00A70914"/>
    <w:rsid w:val="00A730A9"/>
    <w:rsid w:val="00A948E1"/>
    <w:rsid w:val="00AA03C3"/>
    <w:rsid w:val="00AA3B20"/>
    <w:rsid w:val="00AB6AD3"/>
    <w:rsid w:val="00AC693F"/>
    <w:rsid w:val="00AE1B58"/>
    <w:rsid w:val="00B0035C"/>
    <w:rsid w:val="00B17DDE"/>
    <w:rsid w:val="00B25871"/>
    <w:rsid w:val="00B31FC0"/>
    <w:rsid w:val="00BA51CF"/>
    <w:rsid w:val="00BB5DF4"/>
    <w:rsid w:val="00BC2517"/>
    <w:rsid w:val="00BE1F03"/>
    <w:rsid w:val="00BE74DF"/>
    <w:rsid w:val="00C303A9"/>
    <w:rsid w:val="00C60123"/>
    <w:rsid w:val="00C70649"/>
    <w:rsid w:val="00C9676A"/>
    <w:rsid w:val="00CB6925"/>
    <w:rsid w:val="00CB7515"/>
    <w:rsid w:val="00CC14CA"/>
    <w:rsid w:val="00D50115"/>
    <w:rsid w:val="00D75F27"/>
    <w:rsid w:val="00D938DF"/>
    <w:rsid w:val="00DB0778"/>
    <w:rsid w:val="00DD2CA4"/>
    <w:rsid w:val="00DD59D7"/>
    <w:rsid w:val="00DF20DB"/>
    <w:rsid w:val="00DF42B4"/>
    <w:rsid w:val="00DF63D2"/>
    <w:rsid w:val="00E06A23"/>
    <w:rsid w:val="00E32902"/>
    <w:rsid w:val="00E51CE0"/>
    <w:rsid w:val="00E53BA9"/>
    <w:rsid w:val="00E56713"/>
    <w:rsid w:val="00E57105"/>
    <w:rsid w:val="00E75CDE"/>
    <w:rsid w:val="00E821CD"/>
    <w:rsid w:val="00E94AC6"/>
    <w:rsid w:val="00EB12CD"/>
    <w:rsid w:val="00EB29C9"/>
    <w:rsid w:val="00EB4F32"/>
    <w:rsid w:val="00EC2EBB"/>
    <w:rsid w:val="00EF5535"/>
    <w:rsid w:val="00F048F2"/>
    <w:rsid w:val="00F07608"/>
    <w:rsid w:val="00F30BDB"/>
    <w:rsid w:val="00F357EE"/>
    <w:rsid w:val="00F41F1D"/>
    <w:rsid w:val="00F63395"/>
    <w:rsid w:val="00F6564C"/>
    <w:rsid w:val="00FB06D7"/>
    <w:rsid w:val="00FC2EB4"/>
    <w:rsid w:val="00FD2870"/>
    <w:rsid w:val="08B55590"/>
    <w:rsid w:val="0D757F40"/>
    <w:rsid w:val="11FA6155"/>
    <w:rsid w:val="13CF602A"/>
    <w:rsid w:val="154F43F2"/>
    <w:rsid w:val="15B12FCF"/>
    <w:rsid w:val="1F4E1A24"/>
    <w:rsid w:val="2EC71E91"/>
    <w:rsid w:val="360306C0"/>
    <w:rsid w:val="5B4C1BBC"/>
    <w:rsid w:val="621127F7"/>
    <w:rsid w:val="68F75D6A"/>
    <w:rsid w:val="6CE56B9C"/>
    <w:rsid w:val="6FE374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9"/>
    <w:pPr>
      <w:keepNext/>
      <w:keepLines/>
      <w:spacing w:line="415" w:lineRule="auto"/>
      <w:outlineLvl w:val="1"/>
    </w:pPr>
    <w:rPr>
      <w:rFonts w:asciiTheme="majorHAnsi" w:hAnsiTheme="majorHAnsi" w:cstheme="majorBidi"/>
      <w:b/>
      <w:bCs/>
      <w:sz w:val="30"/>
      <w:szCs w:val="32"/>
    </w:rPr>
  </w:style>
  <w:style w:type="paragraph" w:styleId="4">
    <w:name w:val="heading 4"/>
    <w:basedOn w:val="1"/>
    <w:next w:val="1"/>
    <w:semiHidden/>
    <w:unhideWhenUsed/>
    <w:qFormat/>
    <w:uiPriority w:val="9"/>
    <w:pPr>
      <w:keepNext/>
      <w:keepLines/>
      <w:spacing w:line="360" w:lineRule="auto"/>
      <w:ind w:firstLine="200" w:firstLineChars="200"/>
      <w:outlineLvl w:val="3"/>
    </w:pPr>
    <w:rPr>
      <w:rFonts w:asciiTheme="majorHAnsi" w:hAnsiTheme="majorHAnsi" w:cstheme="majorBidi"/>
      <w:b/>
      <w:bCs/>
      <w:szCs w:val="28"/>
    </w:rPr>
  </w:style>
  <w:style w:type="character" w:default="1" w:styleId="11">
    <w:name w:val="Default Paragraph Font"/>
    <w:semiHidden/>
    <w:unhideWhenUsed/>
    <w:uiPriority w:val="1"/>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annotation text"/>
    <w:basedOn w:val="1"/>
    <w:link w:val="23"/>
    <w:unhideWhenUsed/>
    <w:qFormat/>
    <w:uiPriority w:val="99"/>
    <w:pPr>
      <w:jc w:val="left"/>
    </w:pPr>
  </w:style>
  <w:style w:type="paragraph" w:styleId="6">
    <w:name w:val="Body Text"/>
    <w:basedOn w:val="1"/>
    <w:link w:val="24"/>
    <w:qFormat/>
    <w:uiPriority w:val="1"/>
    <w:pPr>
      <w:spacing w:before="36"/>
      <w:ind w:left="120"/>
      <w:jc w:val="left"/>
    </w:pPr>
    <w:rPr>
      <w:rFonts w:ascii="宋体" w:hAnsi="宋体" w:eastAsia="宋体"/>
      <w:kern w:val="0"/>
      <w:sz w:val="24"/>
      <w:szCs w:val="24"/>
      <w:lang w:eastAsia="en-US"/>
    </w:rPr>
  </w:style>
  <w:style w:type="paragraph" w:styleId="7">
    <w:name w:val="Balloon Text"/>
    <w:basedOn w:val="1"/>
    <w:link w:val="15"/>
    <w:unhideWhenUsed/>
    <w:qFormat/>
    <w:uiPriority w:val="99"/>
    <w:rPr>
      <w:sz w:val="18"/>
      <w:szCs w:val="18"/>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2">
    <w:name w:val="列表段落1"/>
    <w:basedOn w:val="1"/>
    <w:qFormat/>
    <w:uiPriority w:val="34"/>
    <w:pPr>
      <w:ind w:firstLine="420" w:firstLineChars="200"/>
    </w:pPr>
  </w:style>
  <w:style w:type="character" w:customStyle="1" w:styleId="13">
    <w:name w:val="页眉 字符"/>
    <w:basedOn w:val="11"/>
    <w:link w:val="9"/>
    <w:qFormat/>
    <w:uiPriority w:val="99"/>
    <w:rPr>
      <w:sz w:val="18"/>
      <w:szCs w:val="18"/>
    </w:rPr>
  </w:style>
  <w:style w:type="character" w:customStyle="1" w:styleId="14">
    <w:name w:val="页脚 字符"/>
    <w:basedOn w:val="11"/>
    <w:link w:val="8"/>
    <w:qFormat/>
    <w:uiPriority w:val="99"/>
    <w:rPr>
      <w:sz w:val="18"/>
      <w:szCs w:val="18"/>
    </w:rPr>
  </w:style>
  <w:style w:type="character" w:customStyle="1" w:styleId="15">
    <w:name w:val="批注框文本 字符"/>
    <w:basedOn w:val="11"/>
    <w:link w:val="7"/>
    <w:semiHidden/>
    <w:qFormat/>
    <w:uiPriority w:val="99"/>
    <w:rPr>
      <w:sz w:val="18"/>
      <w:szCs w:val="18"/>
    </w:rPr>
  </w:style>
  <w:style w:type="character" w:customStyle="1" w:styleId="16">
    <w:name w:val="正文文本 字符"/>
    <w:basedOn w:val="11"/>
    <w:link w:val="6"/>
    <w:qFormat/>
    <w:uiPriority w:val="1"/>
    <w:rPr>
      <w:rFonts w:ascii="宋体" w:hAnsi="宋体" w:cstheme="minorBidi"/>
      <w:sz w:val="24"/>
      <w:szCs w:val="24"/>
      <w:lang w:eastAsia="en-US"/>
    </w:rPr>
  </w:style>
  <w:style w:type="paragraph" w:customStyle="1" w:styleId="17">
    <w:name w:val="_Style 1"/>
    <w:basedOn w:val="1"/>
    <w:qFormat/>
    <w:uiPriority w:val="34"/>
    <w:pPr>
      <w:ind w:firstLine="420" w:firstLineChars="200"/>
    </w:pPr>
    <w:rPr>
      <w:rFonts w:ascii="Calibri" w:hAnsi="Calibri" w:eastAsia="宋体" w:cs="Times New Roman"/>
    </w:rPr>
  </w:style>
  <w:style w:type="paragraph" w:customStyle="1" w:styleId="18">
    <w:name w:val="kpk:正文"/>
    <w:basedOn w:val="1"/>
    <w:qFormat/>
    <w:uiPriority w:val="0"/>
    <w:pPr>
      <w:tabs>
        <w:tab w:val="left" w:pos="1843"/>
      </w:tabs>
      <w:wordWrap w:val="0"/>
      <w:spacing w:before="120" w:line="360" w:lineRule="auto"/>
      <w:ind w:firstLine="480" w:firstLineChars="200"/>
      <w:jc w:val="left"/>
    </w:pPr>
    <w:rPr>
      <w:rFonts w:ascii="宋体" w:hAnsi="宋体"/>
      <w:sz w:val="24"/>
      <w:lang w:val="en-GB"/>
    </w:rPr>
  </w:style>
  <w:style w:type="paragraph" w:customStyle="1" w:styleId="19">
    <w:name w:val="kpk:4级"/>
    <w:basedOn w:val="4"/>
    <w:qFormat/>
    <w:uiPriority w:val="0"/>
    <w:pPr>
      <w:tabs>
        <w:tab w:val="left" w:pos="-142"/>
        <w:tab w:val="left" w:pos="0"/>
        <w:tab w:val="left" w:pos="284"/>
      </w:tabs>
      <w:adjustRightInd w:val="0"/>
      <w:snapToGrid w:val="0"/>
      <w:ind w:left="4254" w:hanging="3800"/>
    </w:pPr>
    <w:rPr>
      <w:rFonts w:ascii="黑体" w:eastAsia="黑体"/>
      <w:sz w:val="24"/>
    </w:rPr>
  </w:style>
  <w:style w:type="paragraph" w:customStyle="1" w:styleId="20">
    <w:name w:val="列表段落2"/>
    <w:basedOn w:val="1"/>
    <w:qFormat/>
    <w:uiPriority w:val="34"/>
    <w:pPr>
      <w:ind w:firstLine="420" w:firstLineChars="200"/>
    </w:pPr>
  </w:style>
  <w:style w:type="character" w:customStyle="1" w:styleId="21">
    <w:name w:val="样式2 Char"/>
    <w:link w:val="22"/>
    <w:qFormat/>
    <w:uiPriority w:val="0"/>
    <w:rPr>
      <w:rFonts w:ascii="宋体" w:hAnsi="宋体" w:eastAsia="仿宋"/>
      <w:spacing w:val="8"/>
      <w:sz w:val="24"/>
      <w:szCs w:val="24"/>
      <w:lang w:val="zh-CN"/>
    </w:rPr>
  </w:style>
  <w:style w:type="paragraph" w:customStyle="1" w:styleId="22">
    <w:name w:val="样式2"/>
    <w:basedOn w:val="1"/>
    <w:link w:val="21"/>
    <w:qFormat/>
    <w:uiPriority w:val="0"/>
    <w:pPr>
      <w:widowControl/>
      <w:spacing w:line="360" w:lineRule="auto"/>
      <w:ind w:firstLine="480" w:firstLineChars="200"/>
    </w:pPr>
    <w:rPr>
      <w:rFonts w:ascii="宋体" w:hAnsi="宋体" w:eastAsia="仿宋" w:cs="Times New Roman"/>
      <w:spacing w:val="8"/>
      <w:kern w:val="0"/>
      <w:sz w:val="24"/>
      <w:szCs w:val="24"/>
      <w:lang w:val="zh-CN"/>
    </w:rPr>
  </w:style>
  <w:style w:type="character" w:customStyle="1" w:styleId="23">
    <w:name w:val="批注文字 字符"/>
    <w:basedOn w:val="11"/>
    <w:link w:val="5"/>
    <w:qFormat/>
    <w:uiPriority w:val="99"/>
    <w:rPr>
      <w:rFonts w:asciiTheme="minorHAnsi" w:hAnsiTheme="minorHAnsi" w:eastAsiaTheme="minorEastAsia" w:cstheme="minorBidi"/>
      <w:kern w:val="2"/>
      <w:sz w:val="21"/>
      <w:szCs w:val="22"/>
    </w:rPr>
  </w:style>
  <w:style w:type="character" w:customStyle="1" w:styleId="24">
    <w:name w:val="正文文本 Char"/>
    <w:basedOn w:val="11"/>
    <w:link w:val="6"/>
    <w:uiPriority w:val="0"/>
    <w:rPr>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3</Pages>
  <Words>2570</Words>
  <Characters>2644</Characters>
  <Lines>21</Lines>
  <Paragraphs>6</Paragraphs>
  <TotalTime>4</TotalTime>
  <ScaleCrop>false</ScaleCrop>
  <LinksUpToDate>false</LinksUpToDate>
  <CharactersWithSpaces>2649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2022-01-06T00:39:00Z</dcterms:created>
  <dc:creator>Micorosoft</dc:creator>
  <cp:lastModifiedBy>wangning01</cp:lastModifiedBy>
  <cp:lastPrinted>2021-02-08T19:24:00Z</cp:lastPrinted>
  <dcterms:modified xsi:type="dcterms:W3CDTF">2022-09-05T05:39:22Z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874335D641CBB3BCB0ECDC613EE4858D</vt:lpwstr>
  </property>
</Properties>
</file>