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1</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047"/>
        <w:gridCol w:w="213"/>
        <w:gridCol w:w="2338"/>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bookmarkStart w:id="0" w:name="_Hlk98601959"/>
            <w:bookmarkStart w:id="1" w:name="_Hlk50096648"/>
            <w:r>
              <w:rPr>
                <w:rFonts w:hint="eastAsia" w:ascii="宋体" w:hAnsi="宋体" w:eastAsia="宋体" w:cs="宋体"/>
                <w:color w:val="auto"/>
                <w:sz w:val="24"/>
                <w:szCs w:val="24"/>
              </w:rPr>
              <w:t>项目编号</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2022-JK15-W1307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875" w:type="dxa"/>
            <w:gridSpan w:val="4"/>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青年骨干教学训练室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2338"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highlight w:val="none"/>
                <w:lang w:val="en-US" w:eastAsia="zh-CN"/>
              </w:rPr>
              <w:t>24</w:t>
            </w:r>
          </w:p>
        </w:tc>
        <w:tc>
          <w:tcPr>
            <w:tcW w:w="5537"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2"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最高投标限价</w:t>
            </w:r>
          </w:p>
        </w:tc>
        <w:tc>
          <w:tcPr>
            <w:tcW w:w="7875" w:type="dxa"/>
            <w:gridSpan w:val="4"/>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1.9</w:t>
            </w:r>
            <w:r>
              <w:rPr>
                <w:rFonts w:hint="eastAsia" w:ascii="宋体" w:hAnsi="宋体" w:eastAsia="宋体" w:cs="宋体"/>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1.支持1080p60fps高清辅流输入，快速扩展协作能力；丰富的音视频接口，满足快速集成和部署，</w:t>
            </w:r>
            <w:r>
              <w:rPr>
                <w:rFonts w:hint="eastAsia" w:ascii="宋体" w:hAnsi="宋体" w:eastAsia="宋体" w:cs="宋体"/>
                <w:sz w:val="24"/>
                <w:szCs w:val="24"/>
                <w:lang w:val="en-US" w:eastAsia="zh-CN"/>
              </w:rPr>
              <w:t>支持</w:t>
            </w:r>
            <w:r>
              <w:rPr>
                <w:rFonts w:hint="eastAsia" w:ascii="宋体" w:hAnsi="宋体" w:eastAsia="宋体" w:cs="宋体"/>
                <w:sz w:val="24"/>
                <w:szCs w:val="24"/>
              </w:rPr>
              <w:t>大中型会议室、行政办公室，远程教育等远程互动沟通场景</w:t>
            </w:r>
            <w:r>
              <w:rPr>
                <w:rFonts w:hint="eastAsia" w:ascii="宋体" w:hAnsi="宋体" w:eastAsia="宋体" w:cs="宋体"/>
                <w:sz w:val="24"/>
                <w:szCs w:val="24"/>
                <w:lang w:eastAsia="zh-CN"/>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2.采用嵌入式系统架构，具有较强的兼容性，兼容业界主流标准终端设备</w:t>
            </w:r>
            <w:r>
              <w:rPr>
                <w:rFonts w:hint="eastAsia" w:ascii="宋体" w:hAnsi="宋体" w:eastAsia="宋体" w:cs="宋体"/>
                <w:sz w:val="24"/>
                <w:szCs w:val="24"/>
                <w:lang w:eastAsia="zh-CN"/>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3.2.4G遥控器和网页登陆便捷设置、嵌入式硬件解决方案，高效率贴心会议操控服务</w:t>
            </w:r>
            <w:r>
              <w:rPr>
                <w:rFonts w:hint="eastAsia" w:ascii="宋体" w:hAnsi="宋体" w:eastAsia="宋体" w:cs="宋体"/>
                <w:sz w:val="24"/>
                <w:szCs w:val="24"/>
                <w:lang w:eastAsia="zh-CN"/>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4.支持AAC宽频语音，独有的回声抵消和噪声抑制技术，提供高保真语音效果</w:t>
            </w:r>
            <w:r>
              <w:rPr>
                <w:rFonts w:hint="eastAsia" w:ascii="宋体" w:hAnsi="宋体" w:eastAsia="宋体" w:cs="宋体"/>
                <w:sz w:val="24"/>
                <w:szCs w:val="24"/>
                <w:lang w:eastAsia="zh-CN"/>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5.全新H.265编解码能力，最高可支持1080p60fps高清双流体验</w:t>
            </w:r>
            <w:r>
              <w:rPr>
                <w:rFonts w:hint="eastAsia" w:ascii="宋体" w:hAnsi="宋体" w:eastAsia="宋体" w:cs="宋体"/>
                <w:sz w:val="24"/>
                <w:szCs w:val="24"/>
                <w:lang w:eastAsia="zh-CN"/>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6.音频特性：快速回声消除（AEC）、自动噪声抑制（ANS）、自动增益控制（AGC）、唇音同步</w:t>
            </w:r>
            <w:r>
              <w:rPr>
                <w:rFonts w:hint="eastAsia" w:ascii="宋体" w:hAnsi="宋体" w:eastAsia="宋体" w:cs="宋体"/>
                <w:sz w:val="24"/>
                <w:szCs w:val="24"/>
                <w:lang w:eastAsia="zh-CN"/>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7.支持网络适应性超强纠错（SEC）、丢包重传（NACK）、视频前向纠错（FEC），安全性管理TLS和SRTP加密功能</w:t>
            </w:r>
            <w:r>
              <w:rPr>
                <w:rFonts w:hint="eastAsia" w:ascii="宋体" w:hAnsi="宋体" w:eastAsia="宋体" w:cs="宋体"/>
                <w:sz w:val="24"/>
                <w:szCs w:val="24"/>
                <w:lang w:eastAsia="zh-CN"/>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8.支持数字麦克风、USB麦克风、模拟麦克风三种音频输入解决方案，适应不同会议场景，满足更多音频需求</w:t>
            </w:r>
            <w:r>
              <w:rPr>
                <w:rFonts w:hint="eastAsia" w:ascii="宋体" w:hAnsi="宋体" w:eastAsia="宋体" w:cs="宋体"/>
                <w:sz w:val="24"/>
                <w:szCs w:val="24"/>
                <w:lang w:eastAsia="zh-CN"/>
              </w:rPr>
              <w:t>。</w:t>
            </w:r>
          </w:p>
          <w:p>
            <w:pPr>
              <w:jc w:val="left"/>
              <w:rPr>
                <w:rFonts w:hint="eastAsia" w:ascii="宋体" w:hAnsi="宋体" w:eastAsia="宋体"/>
                <w:sz w:val="24"/>
                <w:lang w:eastAsia="zh-CN"/>
              </w:rPr>
            </w:pPr>
            <w:r>
              <w:rPr>
                <w:rFonts w:hint="eastAsia" w:ascii="宋体" w:hAnsi="宋体"/>
                <w:sz w:val="24"/>
              </w:rPr>
              <w:t>9.主机要求支持≥2组SDI高清输入，支持≥2路HDMI输入，≥2路VGA输入，≥1路HDMI输出，≥1路VGA输出，≥2路USB接口（以上接口不支持转接实现），高清视频及电脑分辨率支持1920*1080，并向下兼容</w:t>
            </w:r>
            <w:r>
              <w:rPr>
                <w:rFonts w:hint="eastAsia" w:ascii="宋体" w:hAnsi="宋体"/>
                <w:sz w:val="24"/>
                <w:lang w:eastAsia="zh-CN"/>
              </w:rPr>
              <w:t>。</w:t>
            </w:r>
          </w:p>
          <w:p>
            <w:pPr>
              <w:jc w:val="left"/>
              <w:rPr>
                <w:rFonts w:hint="eastAsia" w:ascii="宋体" w:hAnsi="宋体" w:eastAsia="宋体"/>
                <w:sz w:val="24"/>
                <w:lang w:eastAsia="zh-CN"/>
              </w:rPr>
            </w:pPr>
            <w:r>
              <w:rPr>
                <w:rFonts w:hint="eastAsia" w:ascii="宋体" w:hAnsi="宋体"/>
                <w:sz w:val="24"/>
              </w:rPr>
              <w:t>10.支持电脑PPT信号自动触发切换，无需在电脑里安装任何辅助软件及插件</w:t>
            </w:r>
            <w:r>
              <w:rPr>
                <w:rFonts w:hint="eastAsia" w:ascii="宋体" w:hAnsi="宋体"/>
                <w:sz w:val="24"/>
                <w:lang w:eastAsia="zh-CN"/>
              </w:rPr>
              <w:t>。</w:t>
            </w:r>
          </w:p>
          <w:p>
            <w:pPr>
              <w:jc w:val="left"/>
              <w:rPr>
                <w:rFonts w:hint="eastAsia" w:ascii="宋体" w:hAnsi="宋体" w:eastAsia="宋体"/>
                <w:sz w:val="24"/>
                <w:lang w:eastAsia="zh-CN"/>
              </w:rPr>
            </w:pPr>
            <w:r>
              <w:rPr>
                <w:rFonts w:hint="eastAsia" w:ascii="宋体" w:hAnsi="宋体"/>
                <w:sz w:val="24"/>
              </w:rPr>
              <w:t>11.支持主机本地硬盘视频文件播放、USB视频文件播放及远程RTSP视频流的播放机录制。支持12种不同的分屏布局模式，支持用户自定分屏布局模式设置</w:t>
            </w:r>
            <w:r>
              <w:rPr>
                <w:rFonts w:hint="eastAsia" w:ascii="宋体" w:hAnsi="宋体"/>
                <w:sz w:val="24"/>
                <w:lang w:eastAsia="zh-CN"/>
              </w:rPr>
              <w:t>。</w:t>
            </w:r>
          </w:p>
          <w:p>
            <w:pPr>
              <w:jc w:val="left"/>
              <w:rPr>
                <w:rFonts w:hint="eastAsia" w:ascii="宋体" w:hAnsi="宋体" w:eastAsia="宋体"/>
                <w:sz w:val="24"/>
                <w:lang w:eastAsia="zh-CN"/>
              </w:rPr>
            </w:pPr>
            <w:r>
              <w:rPr>
                <w:rFonts w:hint="eastAsia" w:ascii="宋体" w:hAnsi="宋体"/>
                <w:sz w:val="24"/>
              </w:rPr>
              <w:t>12.主机内置数字智能音频处理模块，在不外接音频处理器设备的情况下，即可实现智能音频处理功能，实现高频、中频、低频音效处理，支持回声抑制/噪音消除/自动增益功能；主机要求支持≥2路MIC输入（支持48V幻象供电功能），支持≥1路线路输入，支持≥1路线路输出</w:t>
            </w:r>
            <w:r>
              <w:rPr>
                <w:rFonts w:hint="eastAsia" w:ascii="宋体" w:hAnsi="宋体"/>
                <w:sz w:val="24"/>
                <w:lang w:eastAsia="zh-CN"/>
              </w:rPr>
              <w:t>。</w:t>
            </w:r>
          </w:p>
          <w:p>
            <w:pPr>
              <w:jc w:val="left"/>
              <w:rPr>
                <w:rFonts w:hint="eastAsia" w:ascii="宋体" w:hAnsi="宋体" w:eastAsia="宋体"/>
                <w:sz w:val="24"/>
                <w:lang w:eastAsia="zh-CN"/>
              </w:rPr>
            </w:pPr>
            <w:r>
              <w:rPr>
                <w:rFonts w:hint="eastAsia" w:ascii="宋体" w:hAnsi="宋体"/>
                <w:sz w:val="24"/>
              </w:rPr>
              <w:t>13.具有3个LED指示灯，可实时获取和预警服务器工作状态，分别为电源指示灯(通电后常亮)、硬盘指示灯（读写硬盘时闪烁）、程序运行状态灯（程序运行时闪烁）</w:t>
            </w:r>
            <w:r>
              <w:rPr>
                <w:rFonts w:hint="eastAsia" w:ascii="宋体" w:hAnsi="宋体"/>
                <w:sz w:val="24"/>
                <w:lang w:eastAsia="zh-CN"/>
              </w:rPr>
              <w:t>。</w:t>
            </w:r>
          </w:p>
          <w:p>
            <w:pPr>
              <w:jc w:val="left"/>
              <w:rPr>
                <w:rFonts w:hint="eastAsia" w:ascii="宋体" w:hAnsi="宋体" w:eastAsia="宋体"/>
                <w:sz w:val="24"/>
                <w:lang w:eastAsia="zh-CN"/>
              </w:rPr>
            </w:pPr>
            <w:r>
              <w:rPr>
                <w:rFonts w:hint="eastAsia" w:ascii="宋体" w:hAnsi="宋体"/>
                <w:sz w:val="24"/>
              </w:rPr>
              <w:t>14.支持一键导播，导播方式支持手动、全自动模式，两种模式可以任意切换；手动导播模式支持视频预览、直播输出预监、视频切换、音频调整、录制模式切换等功能；支持手动云台PTZ控制，摄像机视频均支持多个预置位设置</w:t>
            </w:r>
            <w:r>
              <w:rPr>
                <w:rFonts w:hint="eastAsia" w:ascii="宋体" w:hAnsi="宋体"/>
                <w:sz w:val="24"/>
                <w:lang w:eastAsia="zh-CN"/>
              </w:rPr>
              <w:t>。</w:t>
            </w:r>
          </w:p>
          <w:p>
            <w:pPr>
              <w:jc w:val="left"/>
              <w:rPr>
                <w:rFonts w:hint="eastAsia" w:ascii="宋体" w:hAnsi="宋体" w:eastAsia="宋体"/>
                <w:sz w:val="24"/>
                <w:lang w:eastAsia="zh-CN"/>
              </w:rPr>
            </w:pPr>
            <w:r>
              <w:rPr>
                <w:rFonts w:hint="eastAsia" w:ascii="宋体" w:hAnsi="宋体"/>
                <w:sz w:val="24"/>
              </w:rPr>
              <w:t>15.支持两录制模式：电影模式、电影加资源模式；支持6种录制格式MP4、AVI、FLV、MKV、MOV、TS，视频编码采用H265MP、H264HP</w:t>
            </w:r>
            <w:r>
              <w:rPr>
                <w:rFonts w:hint="eastAsia" w:ascii="宋体" w:hAnsi="宋体"/>
                <w:sz w:val="24"/>
                <w:lang w:eastAsia="zh-CN"/>
              </w:rPr>
              <w:t>。</w:t>
            </w:r>
          </w:p>
          <w:p>
            <w:pPr>
              <w:jc w:val="left"/>
              <w:rPr>
                <w:rFonts w:ascii="宋体" w:hAnsi="宋体"/>
                <w:sz w:val="24"/>
              </w:rPr>
            </w:pPr>
            <w:r>
              <w:rPr>
                <w:rFonts w:hint="eastAsia" w:ascii="宋体" w:hAnsi="宋体"/>
                <w:sz w:val="24"/>
              </w:rPr>
              <w:t>16.支持云平台接入，上传共享及多用户观看直播等。也可无需服务器或云平台可实现单机远程观看在线直播及点播，最多支持100个用户</w:t>
            </w:r>
            <w:r>
              <w:rPr>
                <w:rFonts w:hint="eastAsia" w:ascii="宋体" w:hAnsi="宋体"/>
                <w:sz w:val="24"/>
                <w:lang w:eastAsia="zh-CN"/>
              </w:rPr>
              <w:t>。</w:t>
            </w:r>
          </w:p>
          <w:p>
            <w:pPr>
              <w:jc w:val="left"/>
              <w:rPr>
                <w:rFonts w:hint="eastAsia" w:ascii="宋体" w:hAnsi="宋体" w:eastAsia="宋体"/>
                <w:sz w:val="24"/>
                <w:lang w:eastAsia="zh-CN"/>
              </w:rPr>
            </w:pPr>
            <w:r>
              <w:rPr>
                <w:rFonts w:hint="eastAsia" w:ascii="宋体" w:hAnsi="宋体"/>
                <w:sz w:val="24"/>
              </w:rPr>
              <w:t>17.具备OSD、角标、字幕、插入片头片尾及实时添加和编辑等实用功能</w:t>
            </w:r>
            <w:r>
              <w:rPr>
                <w:rFonts w:hint="eastAsia" w:ascii="宋体" w:hAnsi="宋体"/>
                <w:sz w:val="24"/>
                <w:lang w:eastAsia="zh-CN"/>
              </w:rPr>
              <w:t>。</w:t>
            </w:r>
          </w:p>
          <w:p>
            <w:pPr>
              <w:jc w:val="left"/>
              <w:rPr>
                <w:rFonts w:hint="eastAsia" w:ascii="宋体" w:hAnsi="宋体" w:eastAsia="宋体" w:cs="宋体"/>
                <w:bCs/>
                <w:color w:val="auto"/>
                <w:sz w:val="24"/>
                <w:szCs w:val="24"/>
                <w:lang w:eastAsia="zh-CN"/>
              </w:rPr>
            </w:pPr>
            <w:r>
              <w:rPr>
                <w:rFonts w:hint="eastAsia" w:ascii="宋体" w:hAnsi="宋体"/>
                <w:sz w:val="24"/>
              </w:rPr>
              <w:t>18.须满足日常录制需求，配备≥2T的存储空间，最大可支持8T。主机自带1000M网络接口，可与第三方FTP服务器对接，将录制文件自动上传到FTP服务器进行保存和备份，支持外挂NAS网络存储。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7" w:type="dxa"/>
            <w:gridSpan w:val="7"/>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4802"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描  述</w:t>
            </w:r>
          </w:p>
        </w:tc>
        <w:tc>
          <w:tcPr>
            <w:tcW w:w="3286"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rPr>
              <w:t>1</w:t>
            </w:r>
          </w:p>
        </w:tc>
        <w:tc>
          <w:tcPr>
            <w:tcW w:w="4802" w:type="dxa"/>
            <w:gridSpan w:val="3"/>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bidi="ar"/>
              </w:rPr>
              <w:t>高清视频会议分体式终端</w:t>
            </w:r>
          </w:p>
        </w:tc>
        <w:tc>
          <w:tcPr>
            <w:tcW w:w="3286" w:type="dxa"/>
            <w:gridSpan w:val="2"/>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rPr>
              <w:t>2</w:t>
            </w:r>
          </w:p>
        </w:tc>
        <w:tc>
          <w:tcPr>
            <w:tcW w:w="4802" w:type="dxa"/>
            <w:gridSpan w:val="3"/>
            <w:vAlign w:val="center"/>
          </w:tcPr>
          <w:p>
            <w:pPr>
              <w:widowControl/>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000000"/>
                <w:kern w:val="0"/>
                <w:sz w:val="24"/>
                <w:szCs w:val="24"/>
                <w:lang w:bidi="ar"/>
              </w:rPr>
              <w:t>高清视频会议摄像机</w:t>
            </w:r>
          </w:p>
        </w:tc>
        <w:tc>
          <w:tcPr>
            <w:tcW w:w="3286" w:type="dxa"/>
            <w:gridSpan w:val="2"/>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3</w:t>
            </w:r>
          </w:p>
        </w:tc>
        <w:tc>
          <w:tcPr>
            <w:tcW w:w="4802" w:type="dxa"/>
            <w:gridSpan w:val="3"/>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高清会议录播系统主机</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核心产品</w:t>
            </w:r>
            <w:r>
              <w:rPr>
                <w:rFonts w:hint="eastAsia" w:ascii="宋体" w:hAnsi="宋体" w:cs="宋体"/>
                <w:b/>
                <w:bCs/>
                <w:color w:val="000000"/>
                <w:kern w:val="0"/>
                <w:sz w:val="24"/>
                <w:szCs w:val="24"/>
                <w:lang w:eastAsia="zh-CN" w:bidi="ar"/>
              </w:rPr>
              <w:t>）</w:t>
            </w:r>
          </w:p>
        </w:tc>
        <w:tc>
          <w:tcPr>
            <w:tcW w:w="3286" w:type="dxa"/>
            <w:gridSpan w:val="2"/>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4</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无源全频音箱</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5</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专业立体声功放</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6</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支架</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7</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数字前级音频处理器</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8</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模拟调音台</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9</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反馈抑制器</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10</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电源时序器</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11</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华为平板</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rPr>
              <w:t>12</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24口交换机</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9" w:type="dxa"/>
            <w:gridSpan w:val="2"/>
            <w:vAlign w:val="center"/>
          </w:tcPr>
          <w:p>
            <w:pPr>
              <w:widowControl/>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p>
        </w:tc>
        <w:tc>
          <w:tcPr>
            <w:tcW w:w="4802" w:type="dxa"/>
            <w:gridSpan w:val="3"/>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36U标准机柜</w:t>
            </w:r>
          </w:p>
        </w:tc>
        <w:tc>
          <w:tcPr>
            <w:tcW w:w="3286"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60"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指标名称</w:t>
            </w:r>
          </w:p>
        </w:tc>
        <w:tc>
          <w:tcPr>
            <w:tcW w:w="7866" w:type="dxa"/>
            <w:gridSpan w:val="3"/>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1</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高清视频会议分体式终端</w:t>
            </w: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1、采用嵌入式系统架构，具有较强的兼容性，框架协议ITU-TH.323、IETFSIP、支持双流协议：ITU-TH.239,BFCP；兼容业界主流标准终端和网络侧设备；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2、2.4G遥控器和网页登陆便捷设置，、嵌入式硬件解决方案，高效率贴心会议操控服务；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3、支持AAC宽频语音，独有的回声抵消和噪声抑制技术，提供高保真语音效果。音视频接口丰富，支持灵活的会议室集成和多屏扩展</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4、全新H.265编解码能力，最高可支持1080p60fps高清双流体验；结合迪士普企业独有的音视频压缩技术技术，节省45%带宽，可实现超高分辨率的优质图像，并且向下兼容多种分辨率；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5、支持1080p60fps高清辅流输入，快速扩展协作能力；丰富的音视频接口，满足快速集成和部署，是大中型会议室、行政办公室，远程教育等远程互动沟通场景的理想选择</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6、音频协议AAC/G.711A/G.711U/G.722，视频协议H.264HP/H.264BP/H.265，辅流协议H.264HP/H.264BP/H.265数据；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7、视频特性：主流输出1080p60fps，1080p30fps，720p60fps，720p30fps，辅流输出1080p60fps，1080p30fps，720p60fps，720p30fps，主流输入1080p60fps，1080p30fps，720p60fps，720p30fps，辅流输入1080p60fps，1080p30fps，720p60fps，720p30fps</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8、音频特性快速回声消除（AEC）、自动噪声抑制（ANS）、自动增益控制（AGC）、唇音同步</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9、安全性网络适应性超强纠错（SEC）、丢包重传（NACK）、视频前向纠错（FEC），安全性管理TLS和SRTP加密；会议接入加密、会议控制密码、管理员密码；SSH/HTTPS、支持双流加密；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10、支持数字麦克风、USB麦克风、模拟麦克风三种音频输入解决方案，适应不同会议场景，满足更多音频需求；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11</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视频输入≥1xHDMI（1080P60），≥1xHDMI（1080P60）视频输出≥1xHDMI（1080P60）、≥1xHDMI（1080P60）</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12、音频输入≥1x卡农头、支持USB麦克、2xRCA；音频输出≥1x卡农头、支持USB麦克风</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13其他接口≥1xUSB3.0、≥1xUSB2.0、≥1x10/100/1000MLAN、≥1x串口</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bidi="ar"/>
              </w:rPr>
              <w:t>14、一般规范：输入电压DC12V输入电流TBD，工作温度-10°C~40°C，储藏温度-40°C~60°C</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2</w:t>
            </w:r>
          </w:p>
        </w:tc>
        <w:tc>
          <w:tcPr>
            <w:tcW w:w="1260"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高清视频会议摄像机</w:t>
            </w:r>
          </w:p>
        </w:tc>
        <w:tc>
          <w:tcPr>
            <w:tcW w:w="7866" w:type="dxa"/>
            <w:gridSpan w:val="3"/>
            <w:vAlign w:val="center"/>
          </w:tcPr>
          <w:p>
            <w:pPr>
              <w:widowControl/>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图像传感器 1/2.8 英寸 逐行扫描 CMOS, 214 万像素</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焦距 f=4.7~94.0mm</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光圈 F1.6 – F3.5</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光学变焦≥ 20 倍</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数字变焦≥ 12 倍</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视场角 59.5° - 2.9°</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聚焦系统 自动、手动、一键触发、PTZ 触发</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最低照度 0.5Lux (彩色)，0.1Lux (黑白)</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快门速度 1/1-1/10,000 秒</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增益 自动/手动</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白平衡 自动、室内、室外、一键触发、手动、自动跟踪、钠灯、日光灯</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曝光控制 自动、手动、快门优先、光圈优先、智能</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信噪比 ≥50dB</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数字降噪 2D/3D</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背光补偿 支持</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宽动态 支持</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水平范围 -170°~+170°</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垂直范围 -30°~+90°</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水平转动速度 0.1°~120°/ 秒</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垂直转动速度 0.1°~80°/秒</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预置点数目≥256 个</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菜单 支持</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图像翻转功能 支持</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视频输出 ≥1路3G-SDI 接口，≥1路HDMI接口</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音频接口 ≥1路LINE IN，≥1路LINE OUT</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网络接口 10M/100M自适应以太网接口，可选配POE</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USB接口 ≥1路USB</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本地存储 TF卡，最大64G</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控制接口 ≥1路RS-232 IN，≥1路RS-232 OUT，≥1路RS-485</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红外信号透传输出 1路红外信号透传输出接口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sz w:val="24"/>
                <w:szCs w:val="24"/>
              </w:rPr>
            </w:pPr>
            <w:r>
              <w:rPr>
                <w:rFonts w:hint="eastAsia" w:ascii="宋体" w:hAnsi="宋体"/>
                <w:sz w:val="24"/>
                <w:szCs w:val="24"/>
              </w:rPr>
              <w:t>3</w:t>
            </w:r>
          </w:p>
        </w:tc>
        <w:tc>
          <w:tcPr>
            <w:tcW w:w="1260" w:type="dxa"/>
            <w:gridSpan w:val="2"/>
            <w:vMerge w:val="restart"/>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4"/>
                <w:szCs w:val="24"/>
                <w:lang w:bidi="ar"/>
              </w:rPr>
              <w:t>高清会议录播系统主机</w:t>
            </w: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1.基于录播设备稳定性的需求，录播主机须采用嵌入式架构设计，不接受服务器和PC架构，不采用编码盒</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2.具有本地导播及远程导播、录制、直播、点播、视频资源管理、用户管理以及数字音频、功放等功能，具有Web远程管理功能，可实时监听监看；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3.录播主机采用高度≤1U，设备前面板内嵌≥2寸LCD显示屏可显示设备型号、会议室名称、本机IP地址、工作状态、本机温度、日期及时间；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4.支持≥2组SDI高清输入，支持≥2路HDMI输入，≥2路VGA输入，≥1路HDMI输出，≥1路VGA输出，≥2路USB接口（以上接口不支持转接实现），高清视频及电脑分辨率支持不小于1920*1080，并向下兼容；支持≥2路MIC输入（支持48V幻象供电功能），支持≥1路线路输入，支持≥1路线路输出；（提供设备外观接口高清图片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5.内置数字智能音频处理模块，在不外接音频处理器设备的情况下，即可实现智能音频处理功能，实现高频、中频、低频音效处理，支持回声抑制/噪音消除/自动增益功能；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6.支持电脑PPT信号自动触发切换，无需在电脑里安装任何辅助软件及插件；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支持一键导播，导播方式支持手动、全自动模式，两种模式可以任意切换；手动导播模式支持视频预览、直播输出预监、视频切换、音频调整、录制模式切换等功能；支持手动云台PTZ控制，摄像机视频均支持多个预置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8.支持不少于两录制模式：电影模式、电影加资源模式；支持6种录制格式MP4、AVI、FLV、MKV、MOV、TS，视频编码采用H265MP、H264HP；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9.具备OSD、角标、字幕、插入片头片尾及实时添加和编辑等实用功能；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★10.具有多格式同时录制功能；（提供第三方检测报告复印件并加盖原厂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11.满足日常录制需求，配备≥2T的存储空间，最大可支持8T。主机自带不少于1000M网络接口，可与第三方FTP服务器对接，将录制文件自动上传到FTP服务器进行保存和备份，支持外挂NAS网络存储；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12.内置智能录播系统软件，具有“全高清智能录播系统软件”著作权登记证书；（投标时需提供证书复印件加盖厂家公章，http://www.ccopyright.com.cn备查）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jc w:val="center"/>
              <w:rPr>
                <w:rFonts w:hint="eastAsia" w:ascii="宋体" w:hAnsi="宋体" w:eastAsia="宋体" w:cs="宋体"/>
                <w:sz w:val="24"/>
                <w:szCs w:val="24"/>
              </w:rPr>
            </w:pPr>
          </w:p>
        </w:tc>
        <w:tc>
          <w:tcPr>
            <w:tcW w:w="1260" w:type="dxa"/>
            <w:gridSpan w:val="2"/>
            <w:vMerge w:val="continue"/>
            <w:vAlign w:val="center"/>
          </w:tcPr>
          <w:p>
            <w:pPr>
              <w:widowControl/>
              <w:jc w:val="center"/>
              <w:textAlignment w:val="center"/>
              <w:rPr>
                <w:rFonts w:hint="eastAsia" w:ascii="宋体" w:hAnsi="宋体" w:eastAsia="宋体" w:cs="宋体"/>
                <w:color w:val="000000"/>
                <w:kern w:val="0"/>
                <w:sz w:val="24"/>
                <w:szCs w:val="24"/>
                <w:lang w:bidi="ar"/>
              </w:rPr>
            </w:pPr>
          </w:p>
        </w:tc>
        <w:tc>
          <w:tcPr>
            <w:tcW w:w="7866" w:type="dxa"/>
            <w:gridSpan w:val="3"/>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★13.录播主机通过3C国家强制性认证，需要提供证书复印件并加盖厂家公章</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无源全频音箱</w:t>
            </w:r>
          </w:p>
        </w:tc>
        <w:tc>
          <w:tcPr>
            <w:tcW w:w="7866" w:type="dxa"/>
            <w:gridSpan w:val="3"/>
            <w:vAlign w:val="center"/>
          </w:tcPr>
          <w:p>
            <w:pPr>
              <w:widowControl/>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1.箱体采用大斑点水性油漆喷涂处理技术，前面采用有孔金属网背贴声学透声棉</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2.单元结构LF:8"低音×1，HF:1.75"高音×1</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000000"/>
                <w:kern w:val="0"/>
                <w:sz w:val="24"/>
                <w:szCs w:val="24"/>
                <w:lang w:bidi="ar"/>
              </w:rPr>
              <w:t>3.频响范围(±3dB)：70-18,000Hz</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4.灵敏度（折算到1m，1W）：≧94dB</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Cs/>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5.额定阻抗：≧6Ω</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6.总波谐失真度：≦4%</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7.最大声压级：≧120dB</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8.额定功率：≧150W</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9.指向性（H×V）90°×40°</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★10.提供产品通过带有“ILAC-MRA/CNAS/CMA”标识的第三方检测报告复印件并加盖原厂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（报告内容需要包含第3、4、5、6项）。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jc w:val="center"/>
              <w:rPr>
                <w:rFonts w:hint="eastAsia" w:ascii="宋体" w:hAnsi="宋体" w:eastAsia="宋体" w:cs="宋体"/>
                <w:color w:val="auto"/>
                <w:sz w:val="24"/>
                <w:szCs w:val="24"/>
                <w:lang w:eastAsia="zh-CN"/>
              </w:rPr>
            </w:pPr>
            <w:r>
              <w:rPr>
                <w:rFonts w:hint="eastAsia" w:ascii="宋体" w:hAnsi="宋体" w:cs="宋体"/>
                <w:sz w:val="24"/>
                <w:szCs w:val="24"/>
                <w:lang w:val="en-US" w:eastAsia="zh-CN"/>
              </w:rPr>
              <w:t>5</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专业立体声功放</w:t>
            </w:r>
          </w:p>
        </w:tc>
        <w:tc>
          <w:tcPr>
            <w:tcW w:w="7866" w:type="dxa"/>
            <w:gridSpan w:val="3"/>
            <w:vAlign w:val="center"/>
          </w:tcPr>
          <w:p>
            <w:pPr>
              <w:widowControl/>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1.全新的外观设计，标准机箱，适合标准机柜安装；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35"/>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2.双声道平衡专业功率放大器,每声道音量单独可调；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3.支持2路XLR接口信号输入，2路6.35mm接口信号输入，使用更方便和灵活；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4.支持三种输出方式可选选：双声道、单声道和BTL桥接；支持常用接线柱和专业SPEAKON扬声器插座（仅限于立体声工作模式）两种方式功率输出；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5.支持智能保护模式，具有短路保护、直流保护、电源通断多种保护和告警功能；（投标时需提供“一种功放保护电路”的证明文件以说明功放具有保护电路的功能）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76"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6.采用温度补偿技术和低噪声设计，左右两侧各配置一个散热窗口，保障良好的通风散热,高温下仍然维持稳定的工作状态；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7.多个功率级别的设计满足于不同场合的应用需求,每声道（8Ω）额定输出≥230W，每声道（4Ω）额定输出≥350W，桥接（8Ω）额定输出≥700W；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8.为保证系统安全稳定运行需满足以下要求:每声道（4Ω）最大不失真输出功率：≥350W；增益限制的有效频率范围：20-20000Hz；总谐波失真：≤0.45%；最小源电动势：≤800mV；信噪比：≥107dB；（提供根据GB/T 12060.3-2011声系统设备关于声频放大器测量方式检测合格的检测报告复印件加盖公章）；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widowControl/>
              <w:jc w:val="center"/>
              <w:rPr>
                <w:rFonts w:hint="eastAsia" w:ascii="宋体" w:hAnsi="宋体" w:eastAsia="宋体" w:cs="宋体"/>
                <w:color w:val="auto"/>
                <w:sz w:val="24"/>
                <w:szCs w:val="24"/>
                <w:lang w:eastAsia="zh-CN"/>
              </w:rPr>
            </w:pPr>
            <w:r>
              <w:rPr>
                <w:rFonts w:hint="eastAsia" w:ascii="宋体" w:hAnsi="宋体" w:cs="宋体"/>
                <w:kern w:val="0"/>
                <w:sz w:val="24"/>
                <w:szCs w:val="24"/>
                <w:lang w:val="en-US" w:eastAsia="zh-CN"/>
              </w:rPr>
              <w:t>6</w:t>
            </w:r>
          </w:p>
        </w:tc>
        <w:tc>
          <w:tcPr>
            <w:tcW w:w="1260" w:type="dxa"/>
            <w:gridSpan w:val="2"/>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支架</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全金属音箱壁架</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材料：钢材</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承重≥30公斤</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架子伸缩长度：210MM~390MM</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音箱支柱直径：≥35</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可左右调节角度，中间杆子可伸缩调节，架子稳重扎实，稳定性强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lang w:eastAsia="zh-CN"/>
              </w:rPr>
            </w:pPr>
            <w:r>
              <w:rPr>
                <w:rFonts w:hint="eastAsia" w:ascii="宋体" w:hAnsi="宋体" w:cs="宋体"/>
                <w:kern w:val="0"/>
                <w:sz w:val="24"/>
                <w:szCs w:val="24"/>
                <w:lang w:val="en-US" w:eastAsia="zh-CN"/>
              </w:rPr>
              <w:t>7</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数字前级音频处理器</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1.支持汉字液晶屏蓝色背光显示功能，支持≥6段LED显示输入和输出的精确数字电平表、哑音及编辑状态；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2.支持96KHz采样频率，内置32-bitDSP处理器，支持24-bitA/D及D/A转换；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支持≥2路可选音频信号输入，≥1路光纤信号输入，≥1路同轴信号输入，≥6路音频信号输出，≥5个话筒输入，每路输出支持光纤输出模式，可灵活组合多种分频模式，高、低通分频点均可达20Hz～20KHz；（提供设备实物功能面板图片，标识相关接口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4.支持光纤和同轴输入音乐信号，每路输出提供光纤输出模式；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 xml:space="preserve">5.支持通过旋转面板的不同旋钮可分别控制话筒音量，效果音量，音乐音量和总音量；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6.每个输入和输出均有延时和相位控制及哑音设置，输入延时≥30ms，输出延时≥60ms，效果自带三段参量均衡和一对高低通滤波器；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7.输入通道支持调噪声门，输出通道支持控制增益、压限及选择输入通道信号，并支持将某通道的所有参数复制到另外一个通道并能进行联动控制；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8.输出通道支持控制该通道的效果比例、话筒音量、音乐音量和效果音量；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9.支持通过面板的功能键和拔轮进行功能设置，支持连接电脑通过PC控制软件来控制设备；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10.为保证系统安全稳定运行需满足以下要求:总谐波失真：≤0.008%；增益限制的有效频率范围：10-32000Hz；信噪比：≥118dB；通道分离度：≥96dB（提供根据GB/T 12060.3-2011声系统设备关于声频放大器测量方式检测合格的检测报告复印件加盖公章）。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lang w:eastAsia="zh-CN"/>
              </w:rPr>
            </w:pPr>
            <w:r>
              <w:rPr>
                <w:rFonts w:hint="eastAsia" w:ascii="宋体" w:hAnsi="宋体" w:cs="宋体"/>
                <w:kern w:val="0"/>
                <w:sz w:val="24"/>
                <w:szCs w:val="24"/>
                <w:lang w:val="en-US" w:eastAsia="zh-CN"/>
              </w:rPr>
              <w:t>8</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模拟调音台</w:t>
            </w:r>
          </w:p>
        </w:tc>
        <w:tc>
          <w:tcPr>
            <w:tcW w:w="7866" w:type="dxa"/>
            <w:gridSpan w:val="3"/>
            <w:vAlign w:val="center"/>
          </w:tcPr>
          <w:p>
            <w:pPr>
              <w:widowControl/>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1.≥6路XLR平衡单声道输入+≥2路立体声输入</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2.每通道≥3段均衡调节，MUTE静音开关，PFL耳机开关，平滑60MM行程推子器</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3.≥2编组输出 +≥2组AUX输出（包括FX)</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4.≥1组返回，≥1组监听耳机输出</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5.内置48V幻象电源供电；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6.≥24种DSP数字效果器</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7.内置USB音频播放MP3；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8.USB录音、也可连电脑播放音乐</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9.内置蓝牙接收模块</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10.LED大显示屏清淅显示播放状态</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eastAsia" w:ascii="宋体" w:hAnsi="宋体" w:eastAsia="宋体" w:cs="宋体"/>
                <w:color w:val="auto"/>
                <w:sz w:val="24"/>
                <w:szCs w:val="24"/>
                <w:lang w:eastAsia="zh-CN"/>
              </w:rPr>
            </w:pPr>
            <w:r>
              <w:rPr>
                <w:rFonts w:hint="eastAsia" w:ascii="宋体" w:hAnsi="宋体" w:cs="宋体"/>
                <w:kern w:val="0"/>
                <w:sz w:val="24"/>
                <w:szCs w:val="24"/>
                <w:lang w:val="en-US" w:eastAsia="zh-CN"/>
              </w:rPr>
              <w:t>9</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反馈抑制器</w:t>
            </w:r>
          </w:p>
        </w:tc>
        <w:tc>
          <w:tcPr>
            <w:tcW w:w="7866" w:type="dxa"/>
            <w:gridSpan w:val="3"/>
            <w:vAlign w:val="center"/>
          </w:tcPr>
          <w:p>
            <w:pPr>
              <w:widowControl/>
              <w:jc w:val="left"/>
              <w:textAlignment w:val="center"/>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1.64/128超取样24-bitA/D和D/A转换，高解析度</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7"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2.每个声道≥12个频道反馈自动搜寻，智能处理</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3.及时方便的缺省处置，完备的反馈抑制性能</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4.单点模式自动搜寻并处理和锁定陷波频点，直到手动复位或重新设置</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5.手动模式可设置≥2×12个滤波器的所有参数，包括频率、Q值等</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6.伺服平衡输入和输出，镀金XLR和TRS端子</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7.每个滤波器均有单点、自动两种模式</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8.两个并行处理块，左右声道可单独或并联调整</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9.24-bit高性能DSP处理器，保证了信号的解析度和动态范围</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bidi="ar"/>
              </w:rPr>
              <w:t>10.开关软启动，无冲击声，噪声门功能</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restart"/>
            <w:vAlign w:val="center"/>
          </w:tcPr>
          <w:p>
            <w:pPr>
              <w:widowControl/>
              <w:jc w:val="center"/>
              <w:rPr>
                <w:rFonts w:hint="default" w:ascii="宋体" w:hAnsi="宋体" w:eastAsia="宋体" w:cs="宋体"/>
                <w:color w:val="auto"/>
                <w:sz w:val="24"/>
                <w:szCs w:val="24"/>
                <w:lang w:val="en-US" w:eastAsia="zh-CN"/>
              </w:rPr>
            </w:pPr>
            <w:r>
              <w:rPr>
                <w:rFonts w:hint="eastAsia" w:ascii="宋体" w:hAnsi="宋体" w:cs="宋体"/>
                <w:kern w:val="0"/>
                <w:sz w:val="24"/>
                <w:szCs w:val="24"/>
                <w:lang w:val="en-US" w:eastAsia="zh-CN"/>
              </w:rPr>
              <w:t>10</w:t>
            </w:r>
          </w:p>
        </w:tc>
        <w:tc>
          <w:tcPr>
            <w:tcW w:w="1260" w:type="dxa"/>
            <w:gridSpan w:val="2"/>
            <w:vMerge w:val="restart"/>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电源时序器</w:t>
            </w:r>
          </w:p>
        </w:tc>
        <w:tc>
          <w:tcPr>
            <w:tcW w:w="7866" w:type="dxa"/>
            <w:gridSpan w:val="3"/>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1.支持独立的八路大功率电源输出，可满足多种三级的电源插座，如国标插座、美标插座以及欧标插座等，还可满足二级欧式的圆头插座；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2.支持控制和显示八路通道开关状态，可通过面板一键开关时序关启通道；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3.支持开机时由前级到后级按顺序逐个启动各类设备，关机时由后级到前级逐个关闭各个设备，有效的统一管理控制用电设备，确保整个系统的稳定运行；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4.单路负荷:≥10A</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bidi="ar"/>
              </w:rPr>
              <w:t>5.电源容量:总容量220V，16A</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bidi="ar"/>
              </w:rPr>
              <w:t>6.输入电源:AC220-240/50Hz</w:t>
            </w:r>
            <w:r>
              <w:rPr>
                <w:rFonts w:hint="eastAsia" w:ascii="宋体" w:hAnsi="宋体" w:eastAsia="宋体" w:cs="宋体"/>
                <w:color w:val="auto"/>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7.支持短路信号触发控制；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1260" w:type="dxa"/>
            <w:gridSpan w:val="2"/>
            <w:vMerge w:val="continue"/>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p>
        </w:tc>
        <w:tc>
          <w:tcPr>
            <w:tcW w:w="7866" w:type="dxa"/>
            <w:gridSpan w:val="3"/>
            <w:vAlign w:val="center"/>
          </w:tcPr>
          <w:p>
            <w:pPr>
              <w:pStyle w:val="2"/>
              <w:keepNext w:val="0"/>
              <w:keepLines w:val="0"/>
              <w:pageBreakBefore w:val="0"/>
              <w:kinsoku/>
              <w:wordWrap/>
              <w:overflowPunct/>
              <w:topLinePunct w:val="0"/>
              <w:autoSpaceDE/>
              <w:autoSpaceDN/>
              <w:bidi w:val="0"/>
              <w:spacing w:after="0" w:line="240" w:lineRule="auto"/>
              <w:textAlignment w:val="auto"/>
              <w:rPr>
                <w:rFonts w:hint="eastAsia" w:ascii="宋体" w:hAnsi="宋体" w:eastAsia="宋体" w:cs="宋体"/>
                <w:color w:val="auto"/>
                <w:sz w:val="24"/>
                <w:szCs w:val="24"/>
              </w:rPr>
            </w:pPr>
            <w:r>
              <w:rPr>
                <w:rFonts w:hint="eastAsia" w:ascii="宋体" w:hAnsi="宋体" w:eastAsia="宋体" w:cs="宋体"/>
                <w:b/>
                <w:sz w:val="24"/>
                <w:szCs w:val="24"/>
              </w:rPr>
              <w:t>＃</w:t>
            </w:r>
            <w:r>
              <w:rPr>
                <w:rFonts w:hint="eastAsia" w:ascii="宋体" w:hAnsi="宋体" w:eastAsia="宋体" w:cs="宋体"/>
                <w:color w:val="000000"/>
                <w:kern w:val="0"/>
                <w:sz w:val="24"/>
                <w:szCs w:val="24"/>
                <w:lang w:bidi="ar"/>
              </w:rPr>
              <w:t>8.电源输出顺序间隔时间:≤0.66S。（提供第三方检测报告复印件加盖原厂</w:t>
            </w:r>
            <w:r>
              <w:rPr>
                <w:rFonts w:hint="eastAsia" w:ascii="宋体" w:hAnsi="宋体" w:cs="宋体"/>
                <w:color w:val="000000"/>
                <w:kern w:val="0"/>
                <w:sz w:val="24"/>
                <w:szCs w:val="24"/>
                <w:lang w:val="en-US" w:eastAsia="zh-CN" w:bidi="ar"/>
              </w:rPr>
              <w:t>公章</w:t>
            </w:r>
            <w:r>
              <w:rPr>
                <w:rFonts w:hint="eastAsia" w:ascii="宋体" w:hAnsi="宋体" w:eastAsia="宋体" w:cs="宋体"/>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9848" w:type="dxa"/>
            <w:gridSpan w:val="6"/>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质保期</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备件库</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szCs w:val="24"/>
              </w:rPr>
              <w:t>西安有备件库</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维修服务</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szCs w:val="24"/>
              </w:rPr>
              <w:t>西安有维修人员和维修站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收费标准</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szCs w:val="24"/>
              </w:rPr>
              <w:t>质保期外配件及维修价格优惠情况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培训支持</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szCs w:val="24"/>
              </w:rPr>
              <w:t>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维修响应</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sz w:val="24"/>
                <w:szCs w:val="24"/>
              </w:rPr>
              <w:t>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3" w:hRule="atLeast"/>
          <w:jc w:val="center"/>
        </w:trPr>
        <w:tc>
          <w:tcPr>
            <w:tcW w:w="72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26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sz w:val="24"/>
                <w:szCs w:val="24"/>
              </w:rPr>
              <w:t>到货时间</w:t>
            </w:r>
          </w:p>
        </w:tc>
        <w:tc>
          <w:tcPr>
            <w:tcW w:w="7866" w:type="dxa"/>
            <w:gridSpan w:val="3"/>
            <w:vAlign w:val="center"/>
          </w:tcPr>
          <w:p>
            <w:pPr>
              <w:jc w:val="left"/>
              <w:rPr>
                <w:rFonts w:hint="eastAsia" w:ascii="宋体" w:hAnsi="宋体" w:eastAsia="宋体" w:cs="宋体"/>
                <w:color w:val="auto"/>
                <w:sz w:val="24"/>
                <w:szCs w:val="24"/>
              </w:rPr>
            </w:pPr>
            <w:r>
              <w:rPr>
                <w:rFonts w:hint="eastAsia" w:ascii="宋体" w:hAnsi="宋体" w:eastAsia="宋体" w:cs="宋体"/>
                <w:b w:val="0"/>
                <w:bCs/>
                <w:sz w:val="24"/>
                <w:szCs w:val="24"/>
              </w:rPr>
              <w:t>30天</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3OWEwMTkyNDIzMzYyN2U5MmU0ODdkYTBhN2ZjYzg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9216720"/>
    <w:rsid w:val="095E1E76"/>
    <w:rsid w:val="0D0F021E"/>
    <w:rsid w:val="1018335A"/>
    <w:rsid w:val="152452C6"/>
    <w:rsid w:val="18EE3775"/>
    <w:rsid w:val="19A15E62"/>
    <w:rsid w:val="1BC13255"/>
    <w:rsid w:val="1DC030B1"/>
    <w:rsid w:val="23301FF1"/>
    <w:rsid w:val="2C5D0FA2"/>
    <w:rsid w:val="2CAF5CBD"/>
    <w:rsid w:val="3DB27374"/>
    <w:rsid w:val="4B1A0036"/>
    <w:rsid w:val="506C597C"/>
    <w:rsid w:val="5A156E53"/>
    <w:rsid w:val="5BE87BAE"/>
    <w:rsid w:val="5F2B50E6"/>
    <w:rsid w:val="617C46E1"/>
    <w:rsid w:val="67075D70"/>
    <w:rsid w:val="6B354672"/>
    <w:rsid w:val="729320EB"/>
    <w:rsid w:val="72DC49EA"/>
    <w:rsid w:val="78886468"/>
    <w:rsid w:val="7C2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6</Pages>
  <Words>5111</Words>
  <Characters>6285</Characters>
  <Lines>6</Lines>
  <Paragraphs>1</Paragraphs>
  <TotalTime>2</TotalTime>
  <ScaleCrop>false</ScaleCrop>
  <LinksUpToDate>false</LinksUpToDate>
  <CharactersWithSpaces>6350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2022-09-08T06:55:22Z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9AFEBB7ED82248AD84FE873F7DFBCFDA</vt:lpwstr>
  </property>
</Properties>
</file>