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仿宋" w:hAnsi="仿宋" w:eastAsia="仿宋"/>
          <w:color w:val="000000" w:themeColor="text1"/>
          <w:sz w:val="28"/>
          <w:szCs w:val="28"/>
          <w14:textFill>
            <w14:solidFill>
              <w14:schemeClr w14:val="tx1"/>
            </w14:solidFill>
          </w14:textFill>
        </w:rPr>
      </w:pPr>
      <w:r>
        <w:rPr>
          <w:rFonts w:hint="eastAsia" w:ascii="方正小标宋简体" w:hAnsi="黑体" w:eastAsia="方正小标宋简体"/>
          <w:color w:val="000000" w:themeColor="text1"/>
          <w:sz w:val="44"/>
          <w14:textFill>
            <w14:solidFill>
              <w14:schemeClr w14:val="tx1"/>
            </w14:solidFill>
          </w14:textFill>
        </w:rPr>
        <w:t>信息化建设项目技术参数表</w:t>
      </w:r>
    </w:p>
    <w:tbl>
      <w:tblPr>
        <w:tblStyle w:val="11"/>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45"/>
        <w:gridCol w:w="631"/>
        <w:gridCol w:w="183"/>
        <w:gridCol w:w="1358"/>
        <w:gridCol w:w="634"/>
        <w:gridCol w:w="1984"/>
        <w:gridCol w:w="766"/>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项目名称</w:t>
            </w:r>
          </w:p>
        </w:tc>
        <w:tc>
          <w:tcPr>
            <w:tcW w:w="7427" w:type="dxa"/>
            <w:gridSpan w:val="6"/>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科研管理平台升级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预算金额</w:t>
            </w:r>
          </w:p>
        </w:tc>
        <w:tc>
          <w:tcPr>
            <w:tcW w:w="2175" w:type="dxa"/>
            <w:gridSpan w:val="3"/>
          </w:tcPr>
          <w:p>
            <w:pPr>
              <w:ind w:right="-57" w:rightChars="-27"/>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w:t>
            </w:r>
          </w:p>
        </w:tc>
        <w:tc>
          <w:tcPr>
            <w:tcW w:w="1984" w:type="dxa"/>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数量/单位</w:t>
            </w:r>
          </w:p>
        </w:tc>
        <w:tc>
          <w:tcPr>
            <w:tcW w:w="3268" w:type="dxa"/>
            <w:gridSpan w:val="2"/>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gridSpan w:val="3"/>
          </w:tcPr>
          <w:p>
            <w:pPr>
              <w:ind w:right="-57" w:rightChars="-27"/>
              <w:rPr>
                <w:rFonts w:ascii="仿宋" w:hAnsi="仿宋" w:eastAsia="仿宋"/>
                <w:b/>
                <w:color w:val="000000" w:themeColor="text1"/>
                <w:sz w:val="28"/>
                <w:szCs w:val="28"/>
                <w14:textFill>
                  <w14:solidFill>
                    <w14:schemeClr w14:val="tx1"/>
                  </w14:solidFill>
                </w14:textFill>
              </w:rPr>
            </w:pPr>
            <w:bookmarkStart w:id="0" w:name="_GoBack" w:colFirst="1" w:colLast="3"/>
            <w:r>
              <w:rPr>
                <w:rFonts w:hint="eastAsia" w:ascii="仿宋" w:hAnsi="仿宋" w:eastAsia="仿宋"/>
                <w:b/>
                <w:color w:val="000000" w:themeColor="text1"/>
                <w:sz w:val="28"/>
                <w:szCs w:val="28"/>
                <w14:textFill>
                  <w14:solidFill>
                    <w14:schemeClr w14:val="tx1"/>
                  </w14:solidFill>
                </w14:textFill>
              </w:rPr>
              <w:t>国产/进口</w:t>
            </w:r>
          </w:p>
        </w:tc>
        <w:tc>
          <w:tcPr>
            <w:tcW w:w="7427" w:type="dxa"/>
            <w:gridSpan w:val="6"/>
          </w:tcPr>
          <w:p>
            <w:pPr>
              <w:ind w:right="-57" w:rightChars="-27"/>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国产</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已测试品牌：</w:t>
            </w:r>
            <w:r>
              <w:rPr>
                <w:rFonts w:hint="eastAsia" w:ascii="仿宋" w:hAnsi="仿宋" w:eastAsia="仿宋"/>
                <w:color w:val="000000" w:themeColor="text1"/>
                <w:szCs w:val="21"/>
                <w14:textFill>
                  <w14:solidFill>
                    <w14:schemeClr w14:val="tx1"/>
                  </w14:solidFill>
                </w14:textFill>
              </w:rPr>
              <w:t>（品牌、联系人、联系方式）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主要目标：我院拟引入智慧科研信息综合管理平台要求系统实现</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（1）引入科研业务流程管理构建信息化管理手段，所有科研项目从院内科研申报、遴选、评审、立项、中检、结题全流程管理信息化。</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（2）简化各类线下报表和现场办公场景，为全院医生提供场景丰富、便捷高效的网上科研办事服务。</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（3）解决科研成果数据手工统计实现系统自动化对科研成果进行导入、导出、推送、认领、认证和自动匹配等功能。</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（4）解决科研经费精细化管理问题，对科研经费预算进行有效管控</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eastAsia="zh-Hans"/>
                <w14:textFill>
                  <w14:solidFill>
                    <w14:schemeClr w14:val="tx1"/>
                  </w14:solidFill>
                </w14:textFill>
              </w:rPr>
              <w:t>实现无纸化报销</w:t>
            </w:r>
            <w:r>
              <w:rPr>
                <w:rFonts w:hint="eastAsia" w:ascii="仿宋" w:hAnsi="仿宋" w:eastAsia="仿宋"/>
                <w:color w:val="000000" w:themeColor="text1"/>
                <w:sz w:val="24"/>
                <w14:textFill>
                  <w14:solidFill>
                    <w14:schemeClr w14:val="tx1"/>
                  </w14:solidFill>
                </w14:textFill>
              </w:rPr>
              <w:t>。</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（5）解决科研试剂、耗材采购的集中化、规范化管理问题、结题审计合规化问题。</w:t>
            </w:r>
          </w:p>
          <w:p>
            <w:pPr>
              <w:ind w:right="-57" w:rightChars="-27"/>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应用</w:t>
            </w:r>
            <w:r>
              <w:rPr>
                <w:rFonts w:ascii="仿宋" w:hAnsi="仿宋" w:eastAsia="仿宋"/>
                <w:color w:val="000000" w:themeColor="text1"/>
                <w:sz w:val="24"/>
                <w14:textFill>
                  <w14:solidFill>
                    <w14:schemeClr w14:val="tx1"/>
                  </w14:solidFill>
                </w14:textFill>
              </w:rPr>
              <w:t>效果</w:t>
            </w:r>
            <w:r>
              <w:rPr>
                <w:rFonts w:hint="eastAsia" w:ascii="仿宋" w:hAnsi="仿宋" w:eastAsia="仿宋"/>
                <w:color w:val="000000" w:themeColor="text1"/>
                <w:sz w:val="24"/>
                <w14:textFill>
                  <w14:solidFill>
                    <w14:schemeClr w14:val="tx1"/>
                  </w14:solidFill>
                </w14:textFill>
              </w:rPr>
              <w:t>：达到业务稳定运行，办公效率提升的目标。</w:t>
            </w:r>
            <w:r>
              <w:rPr>
                <w:rFonts w:hint="eastAsia" w:ascii="仿宋" w:hAnsi="仿宋" w:eastAsia="仿宋"/>
                <w:color w:val="000000" w:themeColor="text1"/>
                <w:sz w:val="24"/>
                <w:szCs w:val="28"/>
                <w14:textFill>
                  <w14:solidFill>
                    <w14:schemeClr w14:val="tx1"/>
                  </w14:solidFill>
                </w14:textFill>
              </w:rPr>
              <w:t>满足电子病历应用等级六级、互联互通五级乙、医院智慧服务分级四级和医院智慧管理分级四级等要求。提供数据结构手册。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tcPr>
          <w:p>
            <w:pPr>
              <w:ind w:right="-57" w:rightChars="-27"/>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序号</w:t>
            </w:r>
          </w:p>
        </w:tc>
        <w:tc>
          <w:tcPr>
            <w:tcW w:w="4790" w:type="dxa"/>
            <w:gridSpan w:val="5"/>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描述</w:t>
            </w:r>
          </w:p>
        </w:tc>
        <w:tc>
          <w:tcPr>
            <w:tcW w:w="326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98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w:t>
            </w:r>
          </w:p>
        </w:tc>
        <w:tc>
          <w:tcPr>
            <w:tcW w:w="4790" w:type="dxa"/>
            <w:gridSpan w:val="5"/>
            <w:vAlign w:val="center"/>
          </w:tcPr>
          <w:p>
            <w:pPr>
              <w:ind w:right="-57" w:rightChars="-27"/>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软件</w:t>
            </w:r>
            <w:r>
              <w:rPr>
                <w:rFonts w:hint="eastAsia" w:ascii="仿宋" w:hAnsi="仿宋" w:eastAsia="仿宋"/>
                <w:color w:val="000000" w:themeColor="text1"/>
                <w:sz w:val="24"/>
                <w:szCs w:val="28"/>
                <w14:textFill>
                  <w14:solidFill>
                    <w14:schemeClr w14:val="tx1"/>
                  </w14:solidFill>
                </w14:textFill>
              </w:rPr>
              <w:t>：</w:t>
            </w:r>
          </w:p>
          <w:p>
            <w:pPr>
              <w:pStyle w:val="13"/>
              <w:numPr>
                <w:ilvl w:val="0"/>
                <w:numId w:val="1"/>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科研管理系统1套；</w:t>
            </w:r>
          </w:p>
          <w:p>
            <w:pPr>
              <w:pStyle w:val="13"/>
              <w:numPr>
                <w:ilvl w:val="0"/>
                <w:numId w:val="1"/>
              </w:numPr>
              <w:ind w:right="-57" w:rightChars="-27" w:firstLineChars="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必要接口开发、历史数据迁移和培训服务。</w:t>
            </w:r>
          </w:p>
        </w:tc>
        <w:tc>
          <w:tcPr>
            <w:tcW w:w="3268" w:type="dxa"/>
            <w:gridSpan w:val="2"/>
            <w:vAlign w:val="center"/>
          </w:tcPr>
          <w:p>
            <w:pPr>
              <w:ind w:right="-57" w:rightChars="-27"/>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vAlign w:val="center"/>
          </w:tcPr>
          <w:p>
            <w:pPr>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详细</w:t>
            </w:r>
            <w:r>
              <w:rPr>
                <w:rFonts w:ascii="仿宋" w:hAnsi="仿宋" w:eastAsia="仿宋"/>
                <w:b/>
                <w:color w:val="000000" w:themeColor="text1"/>
                <w:sz w:val="28"/>
                <w:szCs w:val="28"/>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4"/>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保密</w:t>
            </w:r>
          </w:p>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廉政要求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★保密廉政承诺</w:t>
            </w:r>
          </w:p>
        </w:tc>
        <w:tc>
          <w:tcPr>
            <w:tcW w:w="5886" w:type="dxa"/>
            <w:gridSpan w:val="4"/>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根据招标方要求签署保密、廉政承诺书。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8"/>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gridSpan w:val="2"/>
            <w:vAlign w:val="center"/>
          </w:tcPr>
          <w:p>
            <w:pP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★保密要求</w:t>
            </w:r>
          </w:p>
        </w:tc>
        <w:tc>
          <w:tcPr>
            <w:tcW w:w="5886" w:type="dxa"/>
            <w:gridSpan w:val="4"/>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案例要求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szCs w:val="28"/>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#案例要求</w:t>
            </w:r>
          </w:p>
        </w:tc>
        <w:tc>
          <w:tcPr>
            <w:tcW w:w="5886" w:type="dxa"/>
            <w:gridSpan w:val="4"/>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1</w:t>
            </w:r>
            <w:r>
              <w:rPr>
                <w:rFonts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szCs w:val="28"/>
                <w14:textFill>
                  <w14:solidFill>
                    <w14:schemeClr w14:val="tx1"/>
                  </w14:solidFill>
                </w14:textFill>
              </w:rPr>
              <w:t xml:space="preserve"> 在三甲医院、高校有不少于</w:t>
            </w:r>
            <w:r>
              <w:rPr>
                <w:rFonts w:ascii="仿宋" w:hAnsi="仿宋" w:eastAsia="仿宋"/>
                <w:color w:val="000000" w:themeColor="text1"/>
                <w:sz w:val="24"/>
                <w:szCs w:val="28"/>
                <w14:textFill>
                  <w14:solidFill>
                    <w14:schemeClr w14:val="tx1"/>
                  </w14:solidFill>
                </w14:textFill>
              </w:rPr>
              <w:t>3</w:t>
            </w:r>
            <w:r>
              <w:rPr>
                <w:rFonts w:hint="eastAsia" w:ascii="仿宋" w:hAnsi="仿宋" w:eastAsia="仿宋"/>
                <w:color w:val="000000" w:themeColor="text1"/>
                <w:sz w:val="24"/>
                <w:szCs w:val="28"/>
                <w14:textFill>
                  <w14:solidFill>
                    <w14:schemeClr w14:val="tx1"/>
                  </w14:solidFill>
                </w14:textFill>
              </w:rPr>
              <w:t>项实际中标且验收的项目案例，提供合同和验收报告；</w:t>
            </w:r>
          </w:p>
          <w:p>
            <w:pPr>
              <w:ind w:right="-57" w:rightChars="-27"/>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 xml:space="preserve">2. </w:t>
            </w:r>
            <w:r>
              <w:rPr>
                <w:rFonts w:hint="eastAsia" w:ascii="仿宋" w:hAnsi="仿宋" w:eastAsia="仿宋"/>
                <w:color w:val="000000" w:themeColor="text1"/>
                <w:sz w:val="24"/>
                <w:szCs w:val="28"/>
                <w14:textFill>
                  <w14:solidFill>
                    <w14:schemeClr w14:val="tx1"/>
                  </w14:solidFill>
                </w14:textFill>
              </w:rPr>
              <w:t>在军队三甲医院、高校有不少于1项实际中标且验收的项目案例，提供合同和验收报告；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其他</w:t>
            </w:r>
            <w:r>
              <w:rPr>
                <w:rFonts w:ascii="仿宋" w:hAnsi="仿宋" w:eastAsia="仿宋"/>
                <w:color w:val="000000" w:themeColor="text1"/>
                <w:sz w:val="24"/>
                <w:szCs w:val="24"/>
                <w14:textFill>
                  <w14:solidFill>
                    <w14:schemeClr w14:val="tx1"/>
                  </w14:solidFill>
                </w14:textFill>
              </w:rPr>
              <w:t>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★宣传要求</w:t>
            </w:r>
          </w:p>
        </w:tc>
        <w:tc>
          <w:tcPr>
            <w:tcW w:w="5886" w:type="dxa"/>
            <w:gridSpan w:val="4"/>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★项目费用</w:t>
            </w:r>
          </w:p>
        </w:tc>
        <w:tc>
          <w:tcPr>
            <w:tcW w:w="5886" w:type="dxa"/>
            <w:gridSpan w:val="4"/>
            <w:vAlign w:val="center"/>
          </w:tcPr>
          <w:p>
            <w:pPr>
              <w:ind w:right="-57" w:rightChars="-27"/>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4"/>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资质要求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#技术力量</w:t>
            </w:r>
          </w:p>
        </w:tc>
        <w:tc>
          <w:tcPr>
            <w:tcW w:w="5886" w:type="dxa"/>
            <w:gridSpan w:val="4"/>
            <w:vAlign w:val="center"/>
          </w:tcPr>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拥有IS09001质量管理体系认证证书和IS027001信息安全管理体系认证证书；</w:t>
            </w:r>
          </w:p>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投标方参加本项目实施的技术人员具有取得高级工程师以上职称的人数≥</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人；</w:t>
            </w:r>
          </w:p>
          <w:p>
            <w:pPr>
              <w:pStyle w:val="13"/>
              <w:numPr>
                <w:ilvl w:val="0"/>
                <w:numId w:val="3"/>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投标方参与省级以上科研管理相关课题项目研究课题数量≥1。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8"/>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★版权要求</w:t>
            </w:r>
          </w:p>
        </w:tc>
        <w:tc>
          <w:tcPr>
            <w:tcW w:w="5886" w:type="dxa"/>
            <w:gridSpan w:val="4"/>
            <w:vAlign w:val="center"/>
          </w:tcPr>
          <w:p>
            <w:pPr>
              <w:pStyle w:val="13"/>
              <w:numPr>
                <w:ilvl w:val="0"/>
                <w:numId w:val="4"/>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拥有投标软件的软件著作权；</w:t>
            </w:r>
          </w:p>
          <w:p>
            <w:pPr>
              <w:pStyle w:val="13"/>
              <w:numPr>
                <w:ilvl w:val="0"/>
                <w:numId w:val="4"/>
              </w:numPr>
              <w:ind w:firstLineChars="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中标后</w:t>
            </w:r>
            <w:r>
              <w:rPr>
                <w:rFonts w:hint="eastAsia" w:ascii="仿宋" w:hAnsi="仿宋" w:eastAsia="仿宋"/>
                <w:color w:val="000000" w:themeColor="text1"/>
                <w:sz w:val="24"/>
                <w14:textFill>
                  <w14:solidFill>
                    <w14:schemeClr w14:val="tx1"/>
                  </w14:solidFill>
                </w14:textFill>
              </w:rPr>
              <w:t>提供投标产品生产厂家使用授权函;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方案</w:t>
            </w:r>
            <w:r>
              <w:rPr>
                <w:rFonts w:ascii="仿宋" w:hAnsi="仿宋" w:eastAsia="仿宋"/>
                <w:color w:val="000000" w:themeColor="text1"/>
                <w:sz w:val="24"/>
                <w:szCs w:val="24"/>
                <w14:textFill>
                  <w14:solidFill>
                    <w14:schemeClr w14:val="tx1"/>
                  </w14:solidFill>
                </w14:textFill>
              </w:rPr>
              <w:t>实施</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#项目管理和实施</w:t>
            </w:r>
          </w:p>
        </w:tc>
        <w:tc>
          <w:tcPr>
            <w:tcW w:w="5886" w:type="dxa"/>
            <w:gridSpan w:val="4"/>
            <w:vAlign w:val="center"/>
          </w:tcPr>
          <w:p>
            <w:pPr>
              <w:pStyle w:val="13"/>
              <w:numPr>
                <w:ilvl w:val="0"/>
                <w:numId w:val="5"/>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实施周期≤90天； </w:t>
            </w:r>
          </w:p>
          <w:p>
            <w:pPr>
              <w:pStyle w:val="13"/>
              <w:numPr>
                <w:ilvl w:val="0"/>
                <w:numId w:val="5"/>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人员组织保障：要求投标方在项目验收前提供1名现场实施人员保障；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★文档资料</w:t>
            </w:r>
          </w:p>
        </w:tc>
        <w:tc>
          <w:tcPr>
            <w:tcW w:w="5886" w:type="dxa"/>
            <w:gridSpan w:val="4"/>
            <w:vAlign w:val="center"/>
          </w:tcPr>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项目风险：提供整个项目风险评估及控制方案；</w:t>
            </w:r>
          </w:p>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文档资料：承诺提供项目实施总体方案、项目团队人员联系表、详细设计、测试报告、用户手册、培训计划、试运行报告、系统部署报告、项目源码及编程说明文档、验收报告、备忘录等其他医院要求提供的文档资料。</w:t>
            </w:r>
          </w:p>
          <w:p>
            <w:pPr>
              <w:pStyle w:val="13"/>
              <w:numPr>
                <w:ilvl w:val="0"/>
                <w:numId w:val="6"/>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提供业务系统数据结构和系统操作中文说明书；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技术架构</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总体要求</w:t>
            </w:r>
          </w:p>
        </w:tc>
        <w:tc>
          <w:tcPr>
            <w:tcW w:w="5886" w:type="dxa"/>
            <w:gridSpan w:val="4"/>
            <w:vAlign w:val="center"/>
          </w:tcPr>
          <w:p>
            <w:pPr>
              <w:pStyle w:val="13"/>
              <w:numPr>
                <w:ilvl w:val="0"/>
                <w:numId w:val="7"/>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系统采用B/S模式，支持3</w:t>
            </w:r>
            <w:r>
              <w:rPr>
                <w:rFonts w:ascii="仿宋" w:hAnsi="仿宋" w:eastAsia="仿宋"/>
                <w:color w:val="000000" w:themeColor="text1"/>
                <w:sz w:val="24"/>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、谷歌、火狐浏览器；</w:t>
            </w:r>
          </w:p>
          <w:p>
            <w:pPr>
              <w:pStyle w:val="13"/>
              <w:numPr>
                <w:ilvl w:val="0"/>
                <w:numId w:val="7"/>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设计要求：须基于医院信息系统实际情况，充分参考现有硬件、设备和科室业务需求设计方案；</w:t>
            </w:r>
          </w:p>
          <w:p>
            <w:pPr>
              <w:pStyle w:val="13"/>
              <w:numPr>
                <w:ilvl w:val="0"/>
                <w:numId w:val="7"/>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不限使用端用户数量，不限存储管理容量；</w:t>
            </w:r>
          </w:p>
          <w:p>
            <w:pPr>
              <w:pStyle w:val="13"/>
              <w:numPr>
                <w:ilvl w:val="0"/>
                <w:numId w:val="7"/>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按需提供客户化定制开发服务；</w:t>
            </w:r>
          </w:p>
          <w:p>
            <w:pPr>
              <w:pStyle w:val="13"/>
              <w:numPr>
                <w:ilvl w:val="0"/>
                <w:numId w:val="7"/>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满足电子病历应用等级六级、互联互通五级乙、医院智慧服务分级四级和医院智慧管理分级四级等要求。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#源码要求</w:t>
            </w:r>
          </w:p>
        </w:tc>
        <w:tc>
          <w:tcPr>
            <w:tcW w:w="5886" w:type="dxa"/>
            <w:gridSpan w:val="4"/>
            <w:vAlign w:val="center"/>
          </w:tcPr>
          <w:p>
            <w:pPr>
              <w:pStyle w:val="13"/>
              <w:numPr>
                <w:ilvl w:val="0"/>
                <w:numId w:val="8"/>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源码要求：提供投标软件源代码。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系统基础要求</w:t>
            </w:r>
          </w:p>
        </w:tc>
        <w:tc>
          <w:tcPr>
            <w:tcW w:w="5886" w:type="dxa"/>
            <w:gridSpan w:val="4"/>
            <w:vAlign w:val="center"/>
          </w:tcPr>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服务器端操作系统：使用WindowsServer或Linux操作系统。X86架构硬件平台，提供64位支持；</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数据库：使用Oracle、SQL server或开源的关系数据库软件，提供64位支持和数据库加密技术；</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系统安全：提供HTTPS保障通讯安全；</w:t>
            </w:r>
          </w:p>
          <w:p>
            <w:pPr>
              <w:pStyle w:val="13"/>
              <w:numPr>
                <w:ilvl w:val="0"/>
                <w:numId w:val="9"/>
              </w:numPr>
              <w:ind w:right="-57" w:rightChars="-27"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客户端：客户端操作系统支持Windows10（32位、64位）及国产可控操作系统；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上线要求</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接口开发要求</w:t>
            </w:r>
          </w:p>
        </w:tc>
        <w:tc>
          <w:tcPr>
            <w:tcW w:w="5886" w:type="dxa"/>
            <w:gridSpan w:val="4"/>
            <w:vAlign w:val="center"/>
          </w:tcPr>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满足电子病历应用等级六级、互联互通五级乙、医院智慧服务分级四级和医院智慧管理分级四级等要求；</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具有二次开发接口能力，根据医院需要免费提供平台的二次接口开发，包含但不限于：用户名统一登陆、人员绩效管理等系统；</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提供中间件方式、HL7、WebService标准接口方式等进行无缝连接；</w:t>
            </w:r>
          </w:p>
          <w:p>
            <w:pPr>
              <w:pStyle w:val="13"/>
              <w:numPr>
                <w:ilvl w:val="0"/>
                <w:numId w:val="10"/>
              </w:numPr>
              <w:adjustRightInd w:val="0"/>
              <w:snapToGrid w:val="0"/>
              <w:spacing w:before="26" w:after="26"/>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提供与HIS、电子病历（EMR）、电子签名、报告服务器、预约平台和集成平台等接口开发服务；</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提供配合完成报告服务、PDF归档接口开发；</w:t>
            </w:r>
          </w:p>
          <w:p>
            <w:pPr>
              <w:pStyle w:val="13"/>
              <w:numPr>
                <w:ilvl w:val="0"/>
                <w:numId w:val="10"/>
              </w:numPr>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系统需符合《信息安全技术网络安全等级保护基本要求》GB/T22239-2019（三级）要求（下文简称：三级等保2.0），并在三级等保2.0评审中协助完成本系统评审工作；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历史数据迁移要求</w:t>
            </w:r>
          </w:p>
        </w:tc>
        <w:tc>
          <w:tcPr>
            <w:tcW w:w="5886" w:type="dxa"/>
            <w:gridSpan w:val="4"/>
            <w:vAlign w:val="center"/>
          </w:tcPr>
          <w:p>
            <w:pPr>
              <w:pStyle w:val="13"/>
              <w:numPr>
                <w:ilvl w:val="0"/>
                <w:numId w:val="11"/>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投标方负责将现有科研历史数据录入该系统。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功能要求</w:t>
            </w:r>
          </w:p>
          <w:p>
            <w:pPr>
              <w:jc w:val="center"/>
            </w:pPr>
            <w:r>
              <w:rPr>
                <w:rFonts w:hint="eastAsia" w:ascii="仿宋" w:hAnsi="仿宋" w:eastAsia="仿宋"/>
                <w:color w:val="000000" w:themeColor="text1"/>
                <w:sz w:val="24"/>
                <w:szCs w:val="24"/>
                <w14:textFill>
                  <w14:solidFill>
                    <w14:schemeClr w14:val="tx1"/>
                  </w14:solidFill>
                </w14:textFill>
              </w:rPr>
              <w:t>(需要</w:t>
            </w:r>
            <w:r>
              <w:rPr>
                <w:rFonts w:ascii="仿宋" w:hAnsi="仿宋" w:eastAsia="仿宋"/>
                <w:color w:val="000000" w:themeColor="text1"/>
                <w:sz w:val="24"/>
                <w:szCs w:val="24"/>
                <w14:textFill>
                  <w14:solidFill>
                    <w14:schemeClr w14:val="tx1"/>
                  </w14:solidFill>
                </w14:textFill>
              </w:rPr>
              <w:t>演示)</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科研办公管理</w:t>
            </w:r>
          </w:p>
        </w:tc>
        <w:tc>
          <w:tcPr>
            <w:tcW w:w="5886" w:type="dxa"/>
            <w:gridSpan w:val="4"/>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通知公告</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支持系统内进行通知公告发布，包括普通公告和项目申报通知点击相应的栏目能够进入详细数据处理界面。</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下载中心</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支持系统内项目申报指南，相关政策法规及相关技术类文档得上传和下载，科研管理人员具有上传功能，普通人员可以进行在线浏览与下载。</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消息、短信、邮件</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支持系统内点对点得消息发送，支持系统内对手机进行短信、邮件的发送功能，医院提供短信http或https接口。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项目申报</w:t>
            </w:r>
          </w:p>
        </w:tc>
        <w:tc>
          <w:tcPr>
            <w:tcW w:w="5886" w:type="dxa"/>
            <w:gridSpan w:val="4"/>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项目申报</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项目申报指对于院级项目和其他归口部门项目的预申报，系统提供申报功能。医院可进行申报批次的创建，限定申报人条件和申报时间等。科研人员进入查看申报信息，在允许申报的时间段以内进行项目申报。</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科研人员提交项目申报信息，二级单位和科研主管部门能对申报信息进行资格审查和形式审查，包括申报人条件、申报人已参与项目情况等。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项目评审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项目评审指对于申报结束的项目，医院可组织专家对其进行在线评审。首先由科研主管部门建立专家库、制定评审方案、建立评审批次。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所需评审的项目指派专家、发送专家通知，专家收到通知后进行在线评审，给出评审意见。评审过程中科研处可监控评审进度，对需要调整专家的项目进行专家调整，在评审结束后将专家意见汇总导出，通过会评决定立项项目。</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申报项目统计</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项目统计指系统内所有申报得项目数量统计、分类、数据导出。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科研项目过程管理</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科研精细化管理要求具有科研项目立项、项目变更、项目中检、项目结题、项目中转、合同管理、合同变更等过程。</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纵向项目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纵向项目是指对各级政府来源项目、合 作项目以及医院基金项目的过程管理。主要包括项目立项、项目变更、项目中检以及项目结题的管理。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项目立项是指对立项后的项目进行管理。项目信息主要包括立项信息、项目文档、项目预算、预算结余、衍生成果、到账经费、支出经费、外拨经费等信息。</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对于项目信息数据库，系统提供了审核、导入、查询、导出、数据列表、统计报表、查重等数据挖掘功能。（注明：数据挖掘功能在人员、平台、经费、成果、获奖等所有的基础数据库中都有体现。）</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审核 系统提供了管理部门直接审核(科研人员~科研管理部门)和二级审核(科研人员~科研秘书~科研管理部门)两种审核机制。</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导入 系统支持直接从Excel批量导入数据的功能。管理员根据指 定的业务模板整理好项目数据，系统能够一次导入，有效减少数据录入工作量。</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查询 针对入库的项目信息，系统提供了简单查询和高级查询两种方式，可以根据所需条件进行组合查询，然后对查询结果进一步分析。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导出 针对检索的结果，系统提供了导出功能，并可以针对导出的范围和信息字段进行选择。导出的结果可以进行上报或者进一步分析。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数据列表 系统提供了强大的数据列表报表的功能，可以对列表报表进行筛选、设 计、打印、导出等操作。并能对常用的列表报表进行保存。</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项目管理过程中，可能需要对项目的相关信息发生变更。项目负责人可以对立项信息、项目成员、项目预算等信息提出项目变更申请，项目管理员对变更申请审查后，批准变更。系统会自动记录所有变更的内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根据项目进展情况，项目管理员可以对项目组织中期检查。中检方式一般按照批次进行。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系统管理员可针对中检项目对项目相关负责人发送预警信息，提醒项目负责人进行中检。并可以根据实际情况选择不同的“提醒方式”（包括业务消息、邮件提醒、短信信息）。</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科研人员提交相关中捡材料，先由相关评审专家进行评价，给出评审意见后再由科研处审核。</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项目管理员需要组织项目结项。由项目负责人上传结项报告，完成结项。</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横向项目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横向项目管理是指医院对外的企事业合 作项目的合同管理过程，在部分医院管理中又称合同管理，包括合同登记和合同变更两部分。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该部分又称合同登记，主要是指项目负责人登记合同信息，负责人将相关的资料推送给相关评审专家，专家评审后给出评审意见，再由项目管理员审核的过程。合同内容包括合同信息、项目文档、衍生成果、到账经费、支出经费、外拨经费等信息。</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在项目过程中，可能需要对合同的相关信息发生变更。项目负责人可以对立项信息、项目成员信息提出合同变更请求，项目管理员对申请请求审查后，批准变更。系统会自动记录所有合同变更的内容。</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院级项目管理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olor w:val="000000" w:themeColor="text1"/>
                <w14:textFill>
                  <w14:solidFill>
                    <w14:schemeClr w14:val="tx1"/>
                  </w14:solidFill>
                </w14:textFill>
              </w:rPr>
              <w:t>网</w:t>
            </w:r>
            <w:r>
              <w:rPr>
                <w:rFonts w:hint="eastAsia" w:ascii="仿宋" w:hAnsi="仿宋" w:eastAsia="仿宋" w:cstheme="minorBidi"/>
                <w:color w:val="000000" w:themeColor="text1"/>
                <w:kern w:val="2"/>
                <w14:textFill>
                  <w14:solidFill>
                    <w14:schemeClr w14:val="tx1"/>
                  </w14:solidFill>
                </w14:textFill>
              </w:rPr>
              <w:t>上申报管理：基于项目申报方案，服务于院内项目申报工作，包括申报计划编制、申报条件设定、申报信息登记、申报材料提交和审核等。可定制申报书模板。</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网上评审功能:包括评审方案制定，评审专家指派，评审计划发布，专家网上评审，评审过程跟踪，评审结果汇总以及统计分析等功能。</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院级项目立项登记、中检变更、验收结项管理，提供增、删、改、查、审、Excel导入导出以及统计分析功能。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科研项目经费管理</w:t>
            </w:r>
          </w:p>
        </w:tc>
        <w:tc>
          <w:tcPr>
            <w:tcW w:w="5886" w:type="dxa"/>
            <w:gridSpan w:val="4"/>
            <w:vAlign w:val="center"/>
          </w:tcPr>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经费管理是科研管理中的重要组成部分，分为纵向经费管理和横向经费管理两部分。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纵向经费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纵向经费管理包括项目经费、配套经费、经费预算、经费到帐、经费报销等方面的管理。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项目立项时，录入项目的合同经费、配套经费以及制订对应的经费预算。</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经费到款时，由财务部做到款登记，然后由科研管理部门进行经费下拨到具体项目，通过科研管理部门和财务部的审核后，系统内具体得项目就可以进行经费报销。</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经费报销时，系统能对每个项目进行经费支出登记，支出的财务科目可以根据不同的项目来源进行设置。同时可以根据医院管理需求，支出和预算进行绑定，即支出财务科目经费不能超过对应的预算范围。</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横向经费</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横向经费管理包括合同经费、配套经费、经费到帐、经费报销等方面的管理。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经费到帐时，进行到帐经费登记，由财务部做到款登记，然后由科研管理部门进行经费下拨到具体项目，通过科研管理部门和财务部的审核后，系统内具体得项目就可以进行经费报销。</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入账单</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拨款到医院的科研来款信息登记，可以为项目进行批量到账。</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课题经费可由科研管理人员进行下拨。</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经费报销：科研人员在系统内进行报销申请及相关的报销流程审批，打印报销单，有预算控制和预算预警功能，实现单科目报销，与科研物资采购平台实现无缝对接，采集采购平台本项目相关的所有采购物资数据，时间数据等相关信息；方便项目结题审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科研项目成果管理</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科研成果管理是科研管理的核心之一，系统对论文（SCI、EI）成果、专 利成果、成果获奖、著作成果、知识产权及成果转化进行管理。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成果入库的过程即成果受理的过程，成果受理一般采用二级审核上报和认领入库两种形式。二级上报即科研人员录入/院下属单位管理员审核/院级管理员核准入库的过程，在此过程中，需要同步收集纸质证明文件。</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系统为所有成果提供强大的数据挖掘、报表功能等功能，以论文成果为例进行重点介绍。</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在发表论文之前先由科研人员做论文投稿申请，经科研处审核通过以后可以自动生成介绍信并打印，再以单位的名义进行论文发表。</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论文成果分为期刊论文、论文集和文章三类。同时，医院可以根据内置的期刊源库定制期刊级别，对论文进行分级划分管理。内置的期刊源包括SCI/CSSCI/CSCD/EI中国科技论文统计源等。</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论文在录入的时候自动识别重复论文。</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论文管理包括基本信息、论文作者（第一作者、共同第一、通讯作者、共同通讯、第二作者、第三作者）转载情况、收录情况和依托项目的管理。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专利成果信息包括基本信息、专利作者和依托项目三部分。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专利成果是对专利数据的管理，不对专 利申报过程进行管理。我单位推荐使用专业的知识产权管理软件，实现对专 利申报、申请、审查、授权、实施等的过程管理，同时实现知识产权管理软件数据和科研业务管理系统的专 利成果数据对接。</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成果获奖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成果获奖是指组织成果进行报奖后获奖情况的管理。成果获奖包括基本信息和依托成果两部分。对成果获奖的管理包括成果获奖受理过程管理和成果获奖数据挖掘分析功能。</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著作成果</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著作成果信息包括基本信息和依托项目两部分。著作成果的管理包括受理过程管理、数据挖掘分析功能等。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成果转化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系统支持对于科研成果转化进行登记、由科研管理部门进行审核。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科研学术活动管理</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学术活动包括主办学术会议、参加会议，及办会反馈和参会反馈四部分。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主办会议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主办会议包括会议列表、会议审核、会议新增、会议查询、常用报表、会议类型。</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会议可以分为国际、国内、省内等多级别的。二级单位通过系统可以申请主办学术会议，然后由科研管理部门审核。会议信息包括会议基本情况、经费情况、会议有关资料等。</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参加会议</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参加会议是指对科研人员外出参加的学术会议的管理。科研人员录入相应的会议情况，通过二级审核受理机制对参加会议进行管理。</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办会反馈</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办会反馈是指科研人员进行自主办会后就会议的情况进行反馈。</w:t>
            </w:r>
          </w:p>
          <w:p>
            <w:pPr>
              <w:pStyle w:val="9"/>
              <w:shd w:val="clear" w:color="auto" w:fill="FFFFFF"/>
              <w:spacing w:before="0" w:beforeAutospacing="0" w:afterAutospacing="0" w:line="240" w:lineRule="atLeast"/>
              <w:ind w:firstLine="32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参会反馈</w:t>
            </w:r>
          </w:p>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参会反馈是指科研人员外出参会后就会议的内容和情况进行反馈。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人员管理</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人员管理主要是对科研人员、专家人才进行系统的管理。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科研人员是指对从事科研工作的人员、科研管理人员、相关的科研辅助人员等各种人员的管理。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人员信息包括所在机构、姓名、职工号、年龄、性别、职称、职务、学科、学位、学历、学科方向、学术特长和联系方式等。其原始数据可以直接从院人事管理系统中实时转入所需要的人员信息，也可以从历史数据进行转换并进行及时的更新。</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在人员列表中，能自动生成相关人员的科研详情表。科研详情可以进一步根据条件进行筛选，并支持导出和打印功能。</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系统提供了对科研基础数据库提供了查询、导入、导出、数据列表和统计报表等功能。参 考纵向项目中相关说明。</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专家库管理：</w:t>
            </w:r>
          </w:p>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专家人才是对各类科研专家的管理，科研单位可以组建各类专家库，并对专家信息进行维护，包括专家的研究方向具体的领域，精细化限定专家的级别，专家的背景，研究的方向，如国家级、省部级，专家的研究方向等专家信息进行维护，支持对专家进行分组形成专家的信息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科研学术任职管理</w:t>
            </w:r>
          </w:p>
        </w:tc>
        <w:tc>
          <w:tcPr>
            <w:tcW w:w="5886" w:type="dxa"/>
            <w:gridSpan w:val="4"/>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学术任职管理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学术任职是指对于单位内的科研人员在学会或者杂志任职的管理以及推荐任职的管理。</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学会任职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针对单位内的科研人员在社会上的学会内的任职进行新增和修改的操作。</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杂志任职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针对单位内的科研人员在社会上的学术杂志内的任职进行新增和修改的操作。</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推荐任职</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针对单位内的科研人员在社会上的学会或杂志的推荐任职进行新增和修改的操作。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科研决策</w:t>
            </w:r>
          </w:p>
        </w:tc>
        <w:tc>
          <w:tcPr>
            <w:tcW w:w="5886" w:type="dxa"/>
            <w:gridSpan w:val="4"/>
            <w:vAlign w:val="center"/>
          </w:tcPr>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科研决策</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科研决策为科研决策者和领导提供了各种查询、对比、分析功能，通过报表、跨模块查询等功能，决策者能对医院的科研有更深的了解和把握，进而达到科研发展和科研调整的目的。</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科研统计</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科研统计分为自定义报表和固定报表。在科研业务管理中，操作者能够根据需求自定义报表，保存为常用的科研报表。</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除了自定义报表外，系统应设 计至少四十组常用报表，能概括日常管理中常用的各种报表。涉及到科研人员、科研项目、申报报表、项目经费、科研成果、学术活动等科研业务。同时，系统应提供强大的报表打印功能，支持柱状图、饼状图的自动生成且有各个科室的总分排名。</w:t>
            </w:r>
          </w:p>
          <w:p>
            <w:pPr>
              <w:pStyle w:val="9"/>
              <w:numPr>
                <w:ilvl w:val="3"/>
                <w:numId w:val="2"/>
              </w:numPr>
              <w:shd w:val="clear" w:color="auto" w:fill="FFFFFF"/>
              <w:spacing w:before="0" w:beforeAutospacing="0" w:afterAutospacing="0" w:line="240" w:lineRule="atLeast"/>
              <w:ind w:left="384"/>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可视化数据分析</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根据系统内已经录入的相关科研数据进行统计、汇总并形成相关大屏展示（动态数据获取、显示）。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科研绩效管理</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科研绩效管理主要是指建立科研工作量的量化指标和设置岗位考核标准，通过对科研项目、科研成果、科研奖励、学术交流等信息的综合分析，计算科研人员和科研单位的科研工作量，由系统所设定信息自动进行核算的过程。</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是科研的工作量管理办法的系统化过程，包括个人科研绩效考核标准维护、制定并对个人考核方案进行配置并形成相关的考核绩效报告并对报告进行管理。</w:t>
            </w:r>
          </w:p>
          <w:p>
            <w:pPr>
              <w:pStyle w:val="9"/>
              <w:shd w:val="clear" w:color="auto" w:fill="FFFFFF"/>
              <w:spacing w:before="0" w:beforeAutospacing="0" w:afterAutospacing="0" w:line="240" w:lineRule="atLeast"/>
              <w:ind w:firstLine="480" w:firstLineChars="200"/>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针对单独的医院科室科研绩效考核标准维护、制定并对科室考核方案进行配置并形成相关的考核绩效报告并对报告进行管理。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科研数据库</w:t>
            </w:r>
          </w:p>
        </w:tc>
        <w:tc>
          <w:tcPr>
            <w:tcW w:w="5886" w:type="dxa"/>
            <w:gridSpan w:val="4"/>
            <w:vAlign w:val="center"/>
          </w:tcPr>
          <w:p>
            <w:pPr>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科研大数据发现系统（项目基金数据库）能辅助科研项目申报的，提供产品详细功能截图和说明，包含以下内容：①发现系统首页；②项目信息查询页面；③项目信息展示页面；④项目关联成果的展示页面；⑤项目按年份查询页面和结果页面；⑥项目来源统计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pStyle w:val="9"/>
              <w:shd w:val="clear" w:color="auto" w:fill="FFFFFF"/>
              <w:spacing w:before="0" w:beforeAutospacing="0" w:afterAutospacing="0" w:line="240" w:lineRule="atLeast"/>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成果发现</w:t>
            </w:r>
          </w:p>
        </w:tc>
        <w:tc>
          <w:tcPr>
            <w:tcW w:w="5886" w:type="dxa"/>
            <w:gridSpan w:val="4"/>
            <w:vAlign w:val="center"/>
          </w:tcPr>
          <w:p>
            <w:pPr>
              <w:pStyle w:val="9"/>
              <w:shd w:val="clear" w:color="auto" w:fill="FFFFFF"/>
              <w:spacing w:before="0" w:beforeAutospacing="0" w:afterAutospacing="0" w:line="240" w:lineRule="atLeas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免费提供科研项目基金数据库对接，实现科研分析、大数据分析、智能检索等功能；将医院指定关键词的中英文论文能自动推送到系统中（包含SCI影响因子、JCR分区、中科院分区），获奖、著作、专利能批量导入到科研信息服务平台中，并且能无缝对接，辅助科研人员对科研项目申报进行查新、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科研伦理审查</w:t>
            </w:r>
          </w:p>
        </w:tc>
        <w:tc>
          <w:tcPr>
            <w:tcW w:w="5886" w:type="dxa"/>
            <w:gridSpan w:val="4"/>
            <w:vAlign w:val="center"/>
          </w:tcPr>
          <w:p>
            <w:pPr>
              <w:pStyle w:val="9"/>
              <w:shd w:val="clear" w:color="auto" w:fill="FFFFFF"/>
              <w:spacing w:before="0" w:beforeAutospacing="0" w:afterAutospacing="0" w:line="240" w:lineRule="atLeast"/>
              <w:rPr>
                <w:rFonts w:ascii="仿宋" w:hAnsi="仿宋" w:eastAsia="仿宋" w:cstheme="minorBidi"/>
                <w:color w:val="000000" w:themeColor="text1"/>
                <w:kern w:val="2"/>
                <w14:textFill>
                  <w14:solidFill>
                    <w14:schemeClr w14:val="tx1"/>
                  </w14:solidFill>
                </w14:textFill>
              </w:rPr>
            </w:pPr>
            <w:r>
              <w:rPr>
                <w:rFonts w:hint="eastAsia" w:ascii="仿宋" w:hAnsi="仿宋" w:eastAsia="仿宋" w:cstheme="minorBidi"/>
                <w:color w:val="000000" w:themeColor="text1"/>
                <w:kern w:val="2"/>
                <w14:textFill>
                  <w14:solidFill>
                    <w14:schemeClr w14:val="tx1"/>
                  </w14:solidFill>
                </w14:textFill>
              </w:rPr>
              <w:t>1、能够实现科研项目相关伦理审查申请、伦理委员会线上流程审批并支持生成相关伦理批件，能在线打印。</w:t>
            </w:r>
          </w:p>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2、对平台内所有伦理审查的数据进行汇总，支持查询和导出表格功能。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#实现与上级单位</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空军军医大学</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科研系统对接</w:t>
            </w:r>
          </w:p>
        </w:tc>
        <w:tc>
          <w:tcPr>
            <w:tcW w:w="5886" w:type="dxa"/>
            <w:gridSpan w:val="4"/>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提供与上级单位</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空军军医大学</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科研管理系统实现数据上报和接口方案</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实现项目</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经费报销</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成果等数据的互联互通</w:t>
            </w:r>
            <w:r>
              <w:rPr>
                <w:rFonts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6" w:type="dxa"/>
            <w:gridSpan w:val="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三、维保参数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类别</w:t>
            </w:r>
          </w:p>
        </w:tc>
        <w:tc>
          <w:tcPr>
            <w:tcW w:w="776"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41" w:type="dxa"/>
            <w:gridSpan w:val="2"/>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指标名称</w:t>
            </w:r>
          </w:p>
        </w:tc>
        <w:tc>
          <w:tcPr>
            <w:tcW w:w="5886" w:type="dxa"/>
            <w:gridSpan w:val="4"/>
            <w:vAlign w:val="center"/>
          </w:tcPr>
          <w:p>
            <w:pPr>
              <w:jc w:val="center"/>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售后服务</w:t>
            </w: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产品维护要求</w:t>
            </w:r>
          </w:p>
        </w:tc>
        <w:tc>
          <w:tcPr>
            <w:tcW w:w="5886" w:type="dxa"/>
            <w:gridSpan w:val="4"/>
            <w:vAlign w:val="center"/>
          </w:tcPr>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投标方需提供产品终身售后服务。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免费维保期</w:t>
            </w:r>
          </w:p>
        </w:tc>
        <w:tc>
          <w:tcPr>
            <w:tcW w:w="5886" w:type="dxa"/>
            <w:gridSpan w:val="4"/>
            <w:vAlign w:val="center"/>
          </w:tcPr>
          <w:p>
            <w:pPr>
              <w:spacing w:line="288" w:lineRule="auto"/>
              <w:jc w:val="left"/>
              <w:textAlignment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1.提供一年投标产品生产厂家免费维保服务，时间自项目验收合格之日起算。</w:t>
            </w:r>
          </w:p>
          <w:p>
            <w:pPr>
              <w:widowControl/>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.提供投标产品生产厂家售后服务承诺函。</w:t>
            </w:r>
          </w:p>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免费维保</w:t>
            </w:r>
            <w:r>
              <w:rPr>
                <w:rFonts w:ascii="仿宋" w:hAnsi="仿宋" w:eastAsia="仿宋"/>
                <w:color w:val="000000" w:themeColor="text1"/>
                <w:sz w:val="24"/>
                <w14:textFill>
                  <w14:solidFill>
                    <w14:schemeClr w14:val="tx1"/>
                  </w14:solidFill>
                </w14:textFill>
              </w:rPr>
              <w:t>期内</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要求</w:t>
            </w:r>
          </w:p>
        </w:tc>
        <w:tc>
          <w:tcPr>
            <w:tcW w:w="5886" w:type="dxa"/>
            <w:gridSpan w:val="4"/>
            <w:vAlign w:val="center"/>
          </w:tcPr>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售后服务期内乙方负责保障软件系统 7×24 小时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用培训和现场技术支付服务等保障系统软硬件正常运行的一切服务。在医院提出要求情况下，投标方需配合第三方厂商完成相应工作。</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服务期内出现紧急故障情况，公司应在收到服务请求后30分钟内响应，必要时24个小时内到现场，4个小时内解决问题，不能修复的，提供备品备件等，以保证系统正常使用。</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免费维保期内提供每年不多于40人天的新需求及新接口开发服务。</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免费售后服务期内提供每年一次系统巡检，并提交书面巡检报告。</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针对重大节假日，安排专人进行保障。</w:t>
            </w:r>
          </w:p>
          <w:p>
            <w:pPr>
              <w:pStyle w:val="13"/>
              <w:widowControl/>
              <w:numPr>
                <w:ilvl w:val="0"/>
                <w:numId w:val="12"/>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操作培训</w:t>
            </w:r>
          </w:p>
        </w:tc>
        <w:tc>
          <w:tcPr>
            <w:tcW w:w="5886" w:type="dxa"/>
            <w:gridSpan w:val="4"/>
            <w:vAlign w:val="center"/>
          </w:tcPr>
          <w:p>
            <w:pPr>
              <w:pStyle w:val="13"/>
              <w:numPr>
                <w:ilvl w:val="0"/>
                <w:numId w:val="13"/>
              </w:numPr>
              <w:ind w:firstLineChars="0"/>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制定培训计划方案</w:t>
            </w:r>
            <w:r>
              <w:rPr>
                <w:rFonts w:hint="eastAsia" w:ascii="仿宋" w:hAnsi="仿宋" w:eastAsia="仿宋"/>
                <w:color w:val="000000" w:themeColor="text1"/>
                <w:sz w:val="24"/>
                <w14:textFill>
                  <w14:solidFill>
                    <w14:schemeClr w14:val="tx1"/>
                  </w14:solidFill>
                </w14:textFill>
              </w:rPr>
              <w:t>；</w:t>
            </w:r>
          </w:p>
          <w:p>
            <w:pPr>
              <w:pStyle w:val="13"/>
              <w:numPr>
                <w:ilvl w:val="0"/>
                <w:numId w:val="13"/>
              </w:numPr>
              <w:ind w:firstLineChars="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本地培训。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776" w:type="dxa"/>
            <w:gridSpan w:val="2"/>
            <w:vAlign w:val="center"/>
          </w:tcPr>
          <w:p>
            <w:pPr>
              <w:pStyle w:val="13"/>
              <w:numPr>
                <w:ilvl w:val="0"/>
                <w:numId w:val="2"/>
              </w:numPr>
              <w:ind w:firstLineChars="0"/>
              <w:jc w:val="center"/>
              <w:rPr>
                <w:rFonts w:ascii="仿宋" w:hAnsi="仿宋" w:eastAsia="仿宋"/>
                <w:color w:val="000000" w:themeColor="text1"/>
                <w:sz w:val="24"/>
                <w14:textFill>
                  <w14:solidFill>
                    <w14:schemeClr w14:val="tx1"/>
                  </w14:solidFill>
                </w14:textFill>
              </w:rPr>
            </w:pPr>
          </w:p>
        </w:tc>
        <w:tc>
          <w:tcPr>
            <w:tcW w:w="1541" w:type="dxa"/>
            <w:gridSpan w:val="2"/>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实施服务</w:t>
            </w:r>
            <w:r>
              <w:rPr>
                <w:rFonts w:ascii="仿宋" w:hAnsi="仿宋" w:eastAsia="仿宋"/>
                <w:color w:val="000000" w:themeColor="text1"/>
                <w:sz w:val="24"/>
                <w14:textFill>
                  <w14:solidFill>
                    <w14:schemeClr w14:val="tx1"/>
                  </w14:solidFill>
                </w14:textFill>
              </w:rPr>
              <w:t xml:space="preserve"> </w:t>
            </w:r>
          </w:p>
        </w:tc>
        <w:tc>
          <w:tcPr>
            <w:tcW w:w="5886" w:type="dxa"/>
            <w:gridSpan w:val="4"/>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项目实施过程中按照项目要求配备的其他相关服务。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gridSpan w:val="4"/>
            <w:vAlign w:val="center"/>
          </w:tcPr>
          <w:p>
            <w:pPr>
              <w:ind w:right="-57" w:rightChars="-27"/>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需求科室</w:t>
            </w:r>
          </w:p>
          <w:p>
            <w:pPr>
              <w:ind w:right="-57" w:rightChars="-27"/>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负责人</w:t>
            </w:r>
          </w:p>
        </w:tc>
        <w:tc>
          <w:tcPr>
            <w:tcW w:w="1992" w:type="dxa"/>
            <w:gridSpan w:val="2"/>
            <w:vAlign w:val="center"/>
          </w:tcPr>
          <w:p>
            <w:pPr>
              <w:ind w:right="-57" w:rightChars="-27"/>
              <w:jc w:val="center"/>
              <w:rPr>
                <w:rFonts w:ascii="仿宋" w:hAnsi="仿宋" w:eastAsia="仿宋"/>
                <w:color w:val="000000" w:themeColor="text1"/>
                <w:sz w:val="28"/>
                <w:szCs w:val="28"/>
                <w14:textFill>
                  <w14:solidFill>
                    <w14:schemeClr w14:val="tx1"/>
                  </w14:solidFill>
                </w14:textFill>
              </w:rPr>
            </w:pPr>
          </w:p>
        </w:tc>
        <w:tc>
          <w:tcPr>
            <w:tcW w:w="2750" w:type="dxa"/>
            <w:gridSpan w:val="2"/>
            <w:vAlign w:val="center"/>
          </w:tcPr>
          <w:p>
            <w:pPr>
              <w:ind w:right="-57" w:rightChars="-27"/>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机关业务</w:t>
            </w:r>
          </w:p>
          <w:p>
            <w:pPr>
              <w:ind w:right="-57" w:rightChars="-27"/>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部门</w:t>
            </w:r>
          </w:p>
        </w:tc>
        <w:tc>
          <w:tcPr>
            <w:tcW w:w="2502" w:type="dxa"/>
            <w:vAlign w:val="center"/>
          </w:tcPr>
          <w:p>
            <w:pPr>
              <w:ind w:right="-57" w:rightChars="-27"/>
              <w:jc w:val="cente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802" w:type="dxa"/>
            <w:gridSpan w:val="4"/>
            <w:vAlign w:val="center"/>
          </w:tcPr>
          <w:p>
            <w:pPr>
              <w:ind w:right="-57" w:rightChars="-27"/>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专家组</w:t>
            </w:r>
          </w:p>
        </w:tc>
        <w:tc>
          <w:tcPr>
            <w:tcW w:w="7244" w:type="dxa"/>
            <w:gridSpan w:val="5"/>
            <w:vAlign w:val="center"/>
          </w:tcPr>
          <w:p>
            <w:pPr>
              <w:ind w:right="-57" w:rightChars="-27"/>
              <w:jc w:val="center"/>
              <w:rPr>
                <w:rFonts w:ascii="仿宋" w:hAnsi="仿宋" w:eastAsia="仿宋"/>
                <w:color w:val="000000" w:themeColor="text1"/>
                <w:sz w:val="28"/>
                <w:szCs w:val="28"/>
                <w14:textFill>
                  <w14:solidFill>
                    <w14:schemeClr w14:val="tx1"/>
                  </w14:solidFill>
                </w14:textFill>
              </w:rPr>
            </w:pPr>
          </w:p>
        </w:tc>
      </w:tr>
    </w:tbl>
    <w:p>
      <w:pPr>
        <w:ind w:right="-57" w:rightChars="-27"/>
        <w:rPr>
          <w:rFonts w:ascii="仿宋" w:hAnsi="仿宋" w:eastAsia="仿宋"/>
          <w:color w:val="000000" w:themeColor="text1"/>
          <w:sz w:val="24"/>
          <w:szCs w:val="28"/>
          <w14:textFill>
            <w14:solidFill>
              <w14:schemeClr w14:val="tx1"/>
            </w14:solidFill>
          </w14:textFill>
        </w:rPr>
      </w:pPr>
      <w:r>
        <w:rPr>
          <w:rFonts w:ascii="仿宋" w:hAnsi="仿宋" w:eastAsia="仿宋"/>
          <w:color w:val="000000" w:themeColor="text1"/>
          <w:sz w:val="24"/>
          <w:szCs w:val="28"/>
          <w14:textFill>
            <w14:solidFill>
              <w14:schemeClr w14:val="tx1"/>
            </w14:solidFill>
          </w14:textFill>
        </w:rPr>
        <w:t>说明</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功能要求</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配置清单为必备要求</w:t>
      </w:r>
      <w:r>
        <w:rPr>
          <w:rFonts w:hint="eastAsia" w:ascii="仿宋" w:hAnsi="仿宋" w:eastAsia="仿宋"/>
          <w:color w:val="000000" w:themeColor="text1"/>
          <w:sz w:val="24"/>
          <w:szCs w:val="28"/>
          <w14:textFill>
            <w14:solidFill>
              <w14:schemeClr w14:val="tx1"/>
            </w14:solidFill>
          </w14:textFill>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w:t>
      </w: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81108"/>
    <w:multiLevelType w:val="multilevel"/>
    <w:tmpl w:val="01C81108"/>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8CF2801"/>
    <w:multiLevelType w:val="multilevel"/>
    <w:tmpl w:val="08CF28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B80A05"/>
    <w:multiLevelType w:val="multilevel"/>
    <w:tmpl w:val="23B80A0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5EC5CF0"/>
    <w:multiLevelType w:val="multilevel"/>
    <w:tmpl w:val="35EC5CF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F316CD1"/>
    <w:multiLevelType w:val="multilevel"/>
    <w:tmpl w:val="3F316C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392C37"/>
    <w:multiLevelType w:val="multilevel"/>
    <w:tmpl w:val="47392C3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7997E1C"/>
    <w:multiLevelType w:val="multilevel"/>
    <w:tmpl w:val="47997E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4B65EA"/>
    <w:multiLevelType w:val="multilevel"/>
    <w:tmpl w:val="4E4B65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904540"/>
    <w:multiLevelType w:val="multilevel"/>
    <w:tmpl w:val="5990454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39478D6"/>
    <w:multiLevelType w:val="multilevel"/>
    <w:tmpl w:val="639478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48437EF"/>
    <w:multiLevelType w:val="multilevel"/>
    <w:tmpl w:val="748437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73B675B"/>
    <w:multiLevelType w:val="multilevel"/>
    <w:tmpl w:val="773B675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6"/>
  </w:num>
  <w:num w:numId="3">
    <w:abstractNumId w:val="8"/>
  </w:num>
  <w:num w:numId="4">
    <w:abstractNumId w:val="3"/>
  </w:num>
  <w:num w:numId="5">
    <w:abstractNumId w:val="2"/>
  </w:num>
  <w:num w:numId="6">
    <w:abstractNumId w:val="5"/>
  </w:num>
  <w:num w:numId="7">
    <w:abstractNumId w:val="0"/>
  </w:num>
  <w:num w:numId="8">
    <w:abstractNumId w:val="12"/>
  </w:num>
  <w:num w:numId="9">
    <w:abstractNumId w:val="4"/>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NzY2NDk1YmI0NTIyODAyZDY0N2JlMDY2M2FkMDgifQ=="/>
  </w:docVars>
  <w:rsids>
    <w:rsidRoot w:val="001F2A36"/>
    <w:rsid w:val="000030A8"/>
    <w:rsid w:val="00003118"/>
    <w:rsid w:val="00003F47"/>
    <w:rsid w:val="00004915"/>
    <w:rsid w:val="00004DEC"/>
    <w:rsid w:val="000053F9"/>
    <w:rsid w:val="0000557E"/>
    <w:rsid w:val="00006626"/>
    <w:rsid w:val="000101B1"/>
    <w:rsid w:val="00010352"/>
    <w:rsid w:val="0001240A"/>
    <w:rsid w:val="000126E7"/>
    <w:rsid w:val="000138AC"/>
    <w:rsid w:val="0001470A"/>
    <w:rsid w:val="0001756E"/>
    <w:rsid w:val="000239D6"/>
    <w:rsid w:val="00025382"/>
    <w:rsid w:val="000316A0"/>
    <w:rsid w:val="00031D21"/>
    <w:rsid w:val="00032DB1"/>
    <w:rsid w:val="00033151"/>
    <w:rsid w:val="0003330D"/>
    <w:rsid w:val="00034DF1"/>
    <w:rsid w:val="00034E0F"/>
    <w:rsid w:val="00035A77"/>
    <w:rsid w:val="00046381"/>
    <w:rsid w:val="000468D8"/>
    <w:rsid w:val="00051AAB"/>
    <w:rsid w:val="000530ED"/>
    <w:rsid w:val="00053B36"/>
    <w:rsid w:val="00054251"/>
    <w:rsid w:val="000542BB"/>
    <w:rsid w:val="000551B9"/>
    <w:rsid w:val="0005636F"/>
    <w:rsid w:val="0005655B"/>
    <w:rsid w:val="000570A2"/>
    <w:rsid w:val="00064FCC"/>
    <w:rsid w:val="000650F8"/>
    <w:rsid w:val="00066B0E"/>
    <w:rsid w:val="0006733F"/>
    <w:rsid w:val="00071113"/>
    <w:rsid w:val="00072D2E"/>
    <w:rsid w:val="00075E3B"/>
    <w:rsid w:val="00081B17"/>
    <w:rsid w:val="00083FE3"/>
    <w:rsid w:val="000840AC"/>
    <w:rsid w:val="00084CBC"/>
    <w:rsid w:val="0009273D"/>
    <w:rsid w:val="00095C00"/>
    <w:rsid w:val="00096895"/>
    <w:rsid w:val="0009689A"/>
    <w:rsid w:val="000A10CE"/>
    <w:rsid w:val="000A44EF"/>
    <w:rsid w:val="000A68BE"/>
    <w:rsid w:val="000A7692"/>
    <w:rsid w:val="000B03A2"/>
    <w:rsid w:val="000B4EB5"/>
    <w:rsid w:val="000B6CEA"/>
    <w:rsid w:val="000C0F7F"/>
    <w:rsid w:val="000C3021"/>
    <w:rsid w:val="000C7EFC"/>
    <w:rsid w:val="000D148C"/>
    <w:rsid w:val="000D4DC7"/>
    <w:rsid w:val="000D5051"/>
    <w:rsid w:val="000D64D0"/>
    <w:rsid w:val="000D696C"/>
    <w:rsid w:val="000D7F38"/>
    <w:rsid w:val="000E0C40"/>
    <w:rsid w:val="000E247F"/>
    <w:rsid w:val="000E2D2E"/>
    <w:rsid w:val="000E3B0E"/>
    <w:rsid w:val="000E6D1F"/>
    <w:rsid w:val="000E71FA"/>
    <w:rsid w:val="000F1F1D"/>
    <w:rsid w:val="000F235F"/>
    <w:rsid w:val="000F29D0"/>
    <w:rsid w:val="000F3863"/>
    <w:rsid w:val="000F6D20"/>
    <w:rsid w:val="00101419"/>
    <w:rsid w:val="00102D1D"/>
    <w:rsid w:val="00104E9E"/>
    <w:rsid w:val="0010564C"/>
    <w:rsid w:val="001100CE"/>
    <w:rsid w:val="00110FBB"/>
    <w:rsid w:val="00114FDB"/>
    <w:rsid w:val="00115362"/>
    <w:rsid w:val="001173D6"/>
    <w:rsid w:val="001223FB"/>
    <w:rsid w:val="00123287"/>
    <w:rsid w:val="001242D9"/>
    <w:rsid w:val="00124E59"/>
    <w:rsid w:val="00127710"/>
    <w:rsid w:val="00131B2D"/>
    <w:rsid w:val="00137E20"/>
    <w:rsid w:val="0014156F"/>
    <w:rsid w:val="0014782D"/>
    <w:rsid w:val="00147B18"/>
    <w:rsid w:val="00151FA1"/>
    <w:rsid w:val="00156197"/>
    <w:rsid w:val="00156321"/>
    <w:rsid w:val="001636DA"/>
    <w:rsid w:val="0016760F"/>
    <w:rsid w:val="00170036"/>
    <w:rsid w:val="00172132"/>
    <w:rsid w:val="00172438"/>
    <w:rsid w:val="00176155"/>
    <w:rsid w:val="00176244"/>
    <w:rsid w:val="00176E19"/>
    <w:rsid w:val="00177EB9"/>
    <w:rsid w:val="001800F7"/>
    <w:rsid w:val="0018101F"/>
    <w:rsid w:val="0018218A"/>
    <w:rsid w:val="00182E9C"/>
    <w:rsid w:val="00185128"/>
    <w:rsid w:val="001919F0"/>
    <w:rsid w:val="00191A00"/>
    <w:rsid w:val="00192658"/>
    <w:rsid w:val="00194FB5"/>
    <w:rsid w:val="00196669"/>
    <w:rsid w:val="001968BE"/>
    <w:rsid w:val="0019767E"/>
    <w:rsid w:val="00197727"/>
    <w:rsid w:val="001A483D"/>
    <w:rsid w:val="001A5021"/>
    <w:rsid w:val="001A5040"/>
    <w:rsid w:val="001A6630"/>
    <w:rsid w:val="001B0C1E"/>
    <w:rsid w:val="001B358F"/>
    <w:rsid w:val="001B482D"/>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F0268"/>
    <w:rsid w:val="001F2A36"/>
    <w:rsid w:val="001F30F0"/>
    <w:rsid w:val="00206F2A"/>
    <w:rsid w:val="002140FA"/>
    <w:rsid w:val="00214C02"/>
    <w:rsid w:val="002201DE"/>
    <w:rsid w:val="00222F31"/>
    <w:rsid w:val="0023411C"/>
    <w:rsid w:val="00236BAE"/>
    <w:rsid w:val="00240511"/>
    <w:rsid w:val="002408BF"/>
    <w:rsid w:val="00240E69"/>
    <w:rsid w:val="00240EBC"/>
    <w:rsid w:val="00241229"/>
    <w:rsid w:val="00244484"/>
    <w:rsid w:val="002469D3"/>
    <w:rsid w:val="00252230"/>
    <w:rsid w:val="002571BD"/>
    <w:rsid w:val="00261D89"/>
    <w:rsid w:val="00267B24"/>
    <w:rsid w:val="002700A8"/>
    <w:rsid w:val="00272D64"/>
    <w:rsid w:val="0027328D"/>
    <w:rsid w:val="00273D84"/>
    <w:rsid w:val="00277261"/>
    <w:rsid w:val="00277B96"/>
    <w:rsid w:val="00277EBA"/>
    <w:rsid w:val="00281693"/>
    <w:rsid w:val="00285680"/>
    <w:rsid w:val="00285DE9"/>
    <w:rsid w:val="002861D9"/>
    <w:rsid w:val="00287233"/>
    <w:rsid w:val="0029395F"/>
    <w:rsid w:val="00296FDC"/>
    <w:rsid w:val="002A08D5"/>
    <w:rsid w:val="002A0B0F"/>
    <w:rsid w:val="002A0C92"/>
    <w:rsid w:val="002A7CB2"/>
    <w:rsid w:val="002B17C5"/>
    <w:rsid w:val="002B1D42"/>
    <w:rsid w:val="002B22A8"/>
    <w:rsid w:val="002B4C91"/>
    <w:rsid w:val="002B4F3F"/>
    <w:rsid w:val="002B6782"/>
    <w:rsid w:val="002B749A"/>
    <w:rsid w:val="002C31CA"/>
    <w:rsid w:val="002C5C00"/>
    <w:rsid w:val="002D3CF0"/>
    <w:rsid w:val="002D532D"/>
    <w:rsid w:val="002E343D"/>
    <w:rsid w:val="002E40AA"/>
    <w:rsid w:val="002E50D1"/>
    <w:rsid w:val="002E6213"/>
    <w:rsid w:val="002E68EA"/>
    <w:rsid w:val="002F1334"/>
    <w:rsid w:val="002F2A22"/>
    <w:rsid w:val="002F2F07"/>
    <w:rsid w:val="002F3C19"/>
    <w:rsid w:val="002F6BA1"/>
    <w:rsid w:val="003032B2"/>
    <w:rsid w:val="003129F6"/>
    <w:rsid w:val="00313C06"/>
    <w:rsid w:val="0031490D"/>
    <w:rsid w:val="003200D7"/>
    <w:rsid w:val="00322EDD"/>
    <w:rsid w:val="003257A0"/>
    <w:rsid w:val="00325C79"/>
    <w:rsid w:val="00326914"/>
    <w:rsid w:val="00330B95"/>
    <w:rsid w:val="0033154F"/>
    <w:rsid w:val="00343081"/>
    <w:rsid w:val="00345BED"/>
    <w:rsid w:val="00345CDD"/>
    <w:rsid w:val="003462C4"/>
    <w:rsid w:val="00346E3B"/>
    <w:rsid w:val="00350A43"/>
    <w:rsid w:val="00352086"/>
    <w:rsid w:val="00354AE9"/>
    <w:rsid w:val="00355F2F"/>
    <w:rsid w:val="0035637E"/>
    <w:rsid w:val="003629C7"/>
    <w:rsid w:val="003656F8"/>
    <w:rsid w:val="0037259D"/>
    <w:rsid w:val="00375757"/>
    <w:rsid w:val="00380F39"/>
    <w:rsid w:val="00382A8C"/>
    <w:rsid w:val="00383B62"/>
    <w:rsid w:val="00384291"/>
    <w:rsid w:val="00384AAF"/>
    <w:rsid w:val="00384B13"/>
    <w:rsid w:val="0039138D"/>
    <w:rsid w:val="00392B44"/>
    <w:rsid w:val="0039655B"/>
    <w:rsid w:val="003A052D"/>
    <w:rsid w:val="003A51D0"/>
    <w:rsid w:val="003A5C44"/>
    <w:rsid w:val="003A7F9F"/>
    <w:rsid w:val="003B05A1"/>
    <w:rsid w:val="003B0D92"/>
    <w:rsid w:val="003B4C31"/>
    <w:rsid w:val="003B64A3"/>
    <w:rsid w:val="003C3732"/>
    <w:rsid w:val="003C4264"/>
    <w:rsid w:val="003C5116"/>
    <w:rsid w:val="003C5763"/>
    <w:rsid w:val="003C58D9"/>
    <w:rsid w:val="003C59D5"/>
    <w:rsid w:val="003C5FF0"/>
    <w:rsid w:val="003C78C0"/>
    <w:rsid w:val="003D009C"/>
    <w:rsid w:val="003D04EA"/>
    <w:rsid w:val="003D1A80"/>
    <w:rsid w:val="003D231E"/>
    <w:rsid w:val="003D2693"/>
    <w:rsid w:val="003D3E44"/>
    <w:rsid w:val="003D4376"/>
    <w:rsid w:val="003E390B"/>
    <w:rsid w:val="003E5E24"/>
    <w:rsid w:val="003F22DE"/>
    <w:rsid w:val="003F300C"/>
    <w:rsid w:val="003F3087"/>
    <w:rsid w:val="0040082A"/>
    <w:rsid w:val="00401BA6"/>
    <w:rsid w:val="00402C65"/>
    <w:rsid w:val="0040395C"/>
    <w:rsid w:val="004056C3"/>
    <w:rsid w:val="00406D34"/>
    <w:rsid w:val="004076A5"/>
    <w:rsid w:val="00410A68"/>
    <w:rsid w:val="00411BC6"/>
    <w:rsid w:val="00412618"/>
    <w:rsid w:val="00414527"/>
    <w:rsid w:val="00422F0D"/>
    <w:rsid w:val="004239CA"/>
    <w:rsid w:val="004248BC"/>
    <w:rsid w:val="00427537"/>
    <w:rsid w:val="00430369"/>
    <w:rsid w:val="00433412"/>
    <w:rsid w:val="004353AD"/>
    <w:rsid w:val="00441709"/>
    <w:rsid w:val="00446414"/>
    <w:rsid w:val="00451490"/>
    <w:rsid w:val="004547C5"/>
    <w:rsid w:val="00455130"/>
    <w:rsid w:val="004573B1"/>
    <w:rsid w:val="004637C0"/>
    <w:rsid w:val="0046435C"/>
    <w:rsid w:val="0046682E"/>
    <w:rsid w:val="00467632"/>
    <w:rsid w:val="00472194"/>
    <w:rsid w:val="00474DA3"/>
    <w:rsid w:val="004770D8"/>
    <w:rsid w:val="004844BB"/>
    <w:rsid w:val="0049199A"/>
    <w:rsid w:val="004A3D4A"/>
    <w:rsid w:val="004A4319"/>
    <w:rsid w:val="004B2959"/>
    <w:rsid w:val="004B2CFC"/>
    <w:rsid w:val="004B392A"/>
    <w:rsid w:val="004B4B2D"/>
    <w:rsid w:val="004B61D6"/>
    <w:rsid w:val="004B7C04"/>
    <w:rsid w:val="004C1D9E"/>
    <w:rsid w:val="004C4EC0"/>
    <w:rsid w:val="004C4F2D"/>
    <w:rsid w:val="004C520C"/>
    <w:rsid w:val="004C6120"/>
    <w:rsid w:val="004C67A7"/>
    <w:rsid w:val="004C7A6A"/>
    <w:rsid w:val="004D0AD0"/>
    <w:rsid w:val="004D3A25"/>
    <w:rsid w:val="004D50F4"/>
    <w:rsid w:val="004D52D3"/>
    <w:rsid w:val="004D6664"/>
    <w:rsid w:val="004E0700"/>
    <w:rsid w:val="004E4875"/>
    <w:rsid w:val="004F39B0"/>
    <w:rsid w:val="00503261"/>
    <w:rsid w:val="00505487"/>
    <w:rsid w:val="005058EE"/>
    <w:rsid w:val="00505B2D"/>
    <w:rsid w:val="00513D37"/>
    <w:rsid w:val="00516674"/>
    <w:rsid w:val="00516B0C"/>
    <w:rsid w:val="00520FD5"/>
    <w:rsid w:val="005211B9"/>
    <w:rsid w:val="005229A7"/>
    <w:rsid w:val="005259B5"/>
    <w:rsid w:val="00526113"/>
    <w:rsid w:val="00526EE3"/>
    <w:rsid w:val="0052756A"/>
    <w:rsid w:val="005339BF"/>
    <w:rsid w:val="00535841"/>
    <w:rsid w:val="00536042"/>
    <w:rsid w:val="00536B25"/>
    <w:rsid w:val="0054311B"/>
    <w:rsid w:val="00544AC4"/>
    <w:rsid w:val="00544C40"/>
    <w:rsid w:val="00546D69"/>
    <w:rsid w:val="00551295"/>
    <w:rsid w:val="00553859"/>
    <w:rsid w:val="005542F0"/>
    <w:rsid w:val="00557C41"/>
    <w:rsid w:val="00557CAC"/>
    <w:rsid w:val="005613A0"/>
    <w:rsid w:val="00562647"/>
    <w:rsid w:val="0056393D"/>
    <w:rsid w:val="00571547"/>
    <w:rsid w:val="00571AF7"/>
    <w:rsid w:val="00571EAA"/>
    <w:rsid w:val="00573AF8"/>
    <w:rsid w:val="00575522"/>
    <w:rsid w:val="005758A3"/>
    <w:rsid w:val="00575E23"/>
    <w:rsid w:val="00581161"/>
    <w:rsid w:val="00581685"/>
    <w:rsid w:val="00582B72"/>
    <w:rsid w:val="005832C1"/>
    <w:rsid w:val="005843B0"/>
    <w:rsid w:val="00585040"/>
    <w:rsid w:val="00586445"/>
    <w:rsid w:val="00586C89"/>
    <w:rsid w:val="005967E5"/>
    <w:rsid w:val="005973F3"/>
    <w:rsid w:val="005974A6"/>
    <w:rsid w:val="005A0D67"/>
    <w:rsid w:val="005A0E83"/>
    <w:rsid w:val="005A3156"/>
    <w:rsid w:val="005B0B68"/>
    <w:rsid w:val="005B1F9D"/>
    <w:rsid w:val="005B4D52"/>
    <w:rsid w:val="005B77E8"/>
    <w:rsid w:val="005C19F2"/>
    <w:rsid w:val="005C43EC"/>
    <w:rsid w:val="005C4CC9"/>
    <w:rsid w:val="005D37F9"/>
    <w:rsid w:val="005D3EF3"/>
    <w:rsid w:val="005D75F8"/>
    <w:rsid w:val="005E0446"/>
    <w:rsid w:val="005E1436"/>
    <w:rsid w:val="005E2269"/>
    <w:rsid w:val="005E5883"/>
    <w:rsid w:val="005E7109"/>
    <w:rsid w:val="005E79CE"/>
    <w:rsid w:val="005E7E73"/>
    <w:rsid w:val="005F7C81"/>
    <w:rsid w:val="0060084A"/>
    <w:rsid w:val="00603AF2"/>
    <w:rsid w:val="00604946"/>
    <w:rsid w:val="00604A28"/>
    <w:rsid w:val="00605737"/>
    <w:rsid w:val="0060651E"/>
    <w:rsid w:val="0061017F"/>
    <w:rsid w:val="00611606"/>
    <w:rsid w:val="00615A53"/>
    <w:rsid w:val="00615CAE"/>
    <w:rsid w:val="0062141D"/>
    <w:rsid w:val="00623EE2"/>
    <w:rsid w:val="0062415A"/>
    <w:rsid w:val="006246D1"/>
    <w:rsid w:val="00627DF0"/>
    <w:rsid w:val="00631455"/>
    <w:rsid w:val="00633E33"/>
    <w:rsid w:val="0063445D"/>
    <w:rsid w:val="0063582E"/>
    <w:rsid w:val="00636013"/>
    <w:rsid w:val="0063706F"/>
    <w:rsid w:val="006408B8"/>
    <w:rsid w:val="00642B96"/>
    <w:rsid w:val="0064538E"/>
    <w:rsid w:val="00646EEC"/>
    <w:rsid w:val="006470DE"/>
    <w:rsid w:val="00650D27"/>
    <w:rsid w:val="00651473"/>
    <w:rsid w:val="0065235D"/>
    <w:rsid w:val="006526E4"/>
    <w:rsid w:val="006567FF"/>
    <w:rsid w:val="006573DD"/>
    <w:rsid w:val="00663134"/>
    <w:rsid w:val="006633A5"/>
    <w:rsid w:val="0066420A"/>
    <w:rsid w:val="00665500"/>
    <w:rsid w:val="006658DC"/>
    <w:rsid w:val="00672986"/>
    <w:rsid w:val="006769AD"/>
    <w:rsid w:val="006831F6"/>
    <w:rsid w:val="006847A7"/>
    <w:rsid w:val="00685853"/>
    <w:rsid w:val="00691E6B"/>
    <w:rsid w:val="006924CB"/>
    <w:rsid w:val="00693812"/>
    <w:rsid w:val="00694306"/>
    <w:rsid w:val="00694CE1"/>
    <w:rsid w:val="00695466"/>
    <w:rsid w:val="006A26FA"/>
    <w:rsid w:val="006A4CAB"/>
    <w:rsid w:val="006A728E"/>
    <w:rsid w:val="006B0ECE"/>
    <w:rsid w:val="006B3378"/>
    <w:rsid w:val="006B7ACF"/>
    <w:rsid w:val="006B7CC6"/>
    <w:rsid w:val="006C0BBE"/>
    <w:rsid w:val="006C2CF2"/>
    <w:rsid w:val="006C443D"/>
    <w:rsid w:val="006C6201"/>
    <w:rsid w:val="006C6930"/>
    <w:rsid w:val="006D21E1"/>
    <w:rsid w:val="006D57EB"/>
    <w:rsid w:val="006D7085"/>
    <w:rsid w:val="006D7B37"/>
    <w:rsid w:val="006E02C9"/>
    <w:rsid w:val="006E1C95"/>
    <w:rsid w:val="006E2080"/>
    <w:rsid w:val="006E2783"/>
    <w:rsid w:val="006E421E"/>
    <w:rsid w:val="006E4B5E"/>
    <w:rsid w:val="006E543A"/>
    <w:rsid w:val="006F43F6"/>
    <w:rsid w:val="006F4754"/>
    <w:rsid w:val="006F49D2"/>
    <w:rsid w:val="006F625C"/>
    <w:rsid w:val="00707295"/>
    <w:rsid w:val="00722D41"/>
    <w:rsid w:val="00722F31"/>
    <w:rsid w:val="00730EB8"/>
    <w:rsid w:val="00731B4F"/>
    <w:rsid w:val="0073433C"/>
    <w:rsid w:val="00735D3A"/>
    <w:rsid w:val="007369A4"/>
    <w:rsid w:val="007370D8"/>
    <w:rsid w:val="007408F0"/>
    <w:rsid w:val="0074329D"/>
    <w:rsid w:val="0075021D"/>
    <w:rsid w:val="007504B1"/>
    <w:rsid w:val="00751155"/>
    <w:rsid w:val="0075217E"/>
    <w:rsid w:val="007536B2"/>
    <w:rsid w:val="00753909"/>
    <w:rsid w:val="0075425D"/>
    <w:rsid w:val="007574DC"/>
    <w:rsid w:val="00760581"/>
    <w:rsid w:val="00762CB7"/>
    <w:rsid w:val="0076366E"/>
    <w:rsid w:val="0076398C"/>
    <w:rsid w:val="00763B22"/>
    <w:rsid w:val="00766DD9"/>
    <w:rsid w:val="00767BEF"/>
    <w:rsid w:val="00772879"/>
    <w:rsid w:val="00781725"/>
    <w:rsid w:val="00782539"/>
    <w:rsid w:val="0078377B"/>
    <w:rsid w:val="00791332"/>
    <w:rsid w:val="007948F5"/>
    <w:rsid w:val="007A0F9A"/>
    <w:rsid w:val="007A2F55"/>
    <w:rsid w:val="007A3AAF"/>
    <w:rsid w:val="007A3C42"/>
    <w:rsid w:val="007A45DE"/>
    <w:rsid w:val="007A48CE"/>
    <w:rsid w:val="007A5752"/>
    <w:rsid w:val="007A5A5A"/>
    <w:rsid w:val="007A7807"/>
    <w:rsid w:val="007A7B56"/>
    <w:rsid w:val="007B6D34"/>
    <w:rsid w:val="007B7673"/>
    <w:rsid w:val="007C12F1"/>
    <w:rsid w:val="007C5355"/>
    <w:rsid w:val="007C6C27"/>
    <w:rsid w:val="007D21C9"/>
    <w:rsid w:val="007D3956"/>
    <w:rsid w:val="007D6FE0"/>
    <w:rsid w:val="007D7254"/>
    <w:rsid w:val="007E7773"/>
    <w:rsid w:val="007F07B1"/>
    <w:rsid w:val="007F0BD3"/>
    <w:rsid w:val="007F2A98"/>
    <w:rsid w:val="007F71AD"/>
    <w:rsid w:val="007F7FD4"/>
    <w:rsid w:val="0080021C"/>
    <w:rsid w:val="00802FEE"/>
    <w:rsid w:val="008037C4"/>
    <w:rsid w:val="008051D4"/>
    <w:rsid w:val="00805D89"/>
    <w:rsid w:val="00807AD6"/>
    <w:rsid w:val="00815BAC"/>
    <w:rsid w:val="00816336"/>
    <w:rsid w:val="00817B37"/>
    <w:rsid w:val="00822CF1"/>
    <w:rsid w:val="00823BDB"/>
    <w:rsid w:val="00827FBE"/>
    <w:rsid w:val="00830DF4"/>
    <w:rsid w:val="008328BC"/>
    <w:rsid w:val="00834256"/>
    <w:rsid w:val="00843702"/>
    <w:rsid w:val="0084472C"/>
    <w:rsid w:val="00845C86"/>
    <w:rsid w:val="00845D00"/>
    <w:rsid w:val="00852AFC"/>
    <w:rsid w:val="00855C18"/>
    <w:rsid w:val="00861069"/>
    <w:rsid w:val="008632B8"/>
    <w:rsid w:val="00865A80"/>
    <w:rsid w:val="00870E7E"/>
    <w:rsid w:val="0087111E"/>
    <w:rsid w:val="008753E8"/>
    <w:rsid w:val="00876047"/>
    <w:rsid w:val="00877999"/>
    <w:rsid w:val="00881693"/>
    <w:rsid w:val="0088271F"/>
    <w:rsid w:val="00886852"/>
    <w:rsid w:val="00887D82"/>
    <w:rsid w:val="00890B5A"/>
    <w:rsid w:val="008912D5"/>
    <w:rsid w:val="00892D18"/>
    <w:rsid w:val="00893FAE"/>
    <w:rsid w:val="008A316F"/>
    <w:rsid w:val="008A549B"/>
    <w:rsid w:val="008A68B4"/>
    <w:rsid w:val="008B06B0"/>
    <w:rsid w:val="008B35D1"/>
    <w:rsid w:val="008B5698"/>
    <w:rsid w:val="008C12F4"/>
    <w:rsid w:val="008C7475"/>
    <w:rsid w:val="008C7492"/>
    <w:rsid w:val="008D0100"/>
    <w:rsid w:val="008D0A38"/>
    <w:rsid w:val="008D39A9"/>
    <w:rsid w:val="008D3C05"/>
    <w:rsid w:val="008D5166"/>
    <w:rsid w:val="008D6444"/>
    <w:rsid w:val="008E0109"/>
    <w:rsid w:val="008E05D6"/>
    <w:rsid w:val="008E2086"/>
    <w:rsid w:val="008E46A2"/>
    <w:rsid w:val="008E6761"/>
    <w:rsid w:val="008F02D9"/>
    <w:rsid w:val="008F1067"/>
    <w:rsid w:val="008F1325"/>
    <w:rsid w:val="008F1AA1"/>
    <w:rsid w:val="008F1E23"/>
    <w:rsid w:val="008F4895"/>
    <w:rsid w:val="008F542E"/>
    <w:rsid w:val="008F6958"/>
    <w:rsid w:val="009003A3"/>
    <w:rsid w:val="009006A6"/>
    <w:rsid w:val="009010B3"/>
    <w:rsid w:val="0090339C"/>
    <w:rsid w:val="00914B9C"/>
    <w:rsid w:val="00915106"/>
    <w:rsid w:val="0091552D"/>
    <w:rsid w:val="00915B07"/>
    <w:rsid w:val="00920A44"/>
    <w:rsid w:val="0092310E"/>
    <w:rsid w:val="0092474B"/>
    <w:rsid w:val="00924D04"/>
    <w:rsid w:val="0092508B"/>
    <w:rsid w:val="009262B2"/>
    <w:rsid w:val="00926463"/>
    <w:rsid w:val="00930506"/>
    <w:rsid w:val="00931DEB"/>
    <w:rsid w:val="009326FF"/>
    <w:rsid w:val="00932D02"/>
    <w:rsid w:val="00934369"/>
    <w:rsid w:val="0093596B"/>
    <w:rsid w:val="00936A09"/>
    <w:rsid w:val="00936F8D"/>
    <w:rsid w:val="00942C42"/>
    <w:rsid w:val="0094461F"/>
    <w:rsid w:val="00944DD7"/>
    <w:rsid w:val="009461E2"/>
    <w:rsid w:val="00952BDA"/>
    <w:rsid w:val="009543B6"/>
    <w:rsid w:val="00954ED7"/>
    <w:rsid w:val="00955E7D"/>
    <w:rsid w:val="0096415A"/>
    <w:rsid w:val="00964CF0"/>
    <w:rsid w:val="00966D40"/>
    <w:rsid w:val="00970F8C"/>
    <w:rsid w:val="009710A1"/>
    <w:rsid w:val="00971E24"/>
    <w:rsid w:val="00972A65"/>
    <w:rsid w:val="00973A55"/>
    <w:rsid w:val="00973D3E"/>
    <w:rsid w:val="00974218"/>
    <w:rsid w:val="00974E0D"/>
    <w:rsid w:val="009768C0"/>
    <w:rsid w:val="00977E0F"/>
    <w:rsid w:val="0098149C"/>
    <w:rsid w:val="00984D74"/>
    <w:rsid w:val="00985A36"/>
    <w:rsid w:val="00987065"/>
    <w:rsid w:val="00987467"/>
    <w:rsid w:val="0099013A"/>
    <w:rsid w:val="00991701"/>
    <w:rsid w:val="009917B5"/>
    <w:rsid w:val="00991931"/>
    <w:rsid w:val="00992C9E"/>
    <w:rsid w:val="009A6960"/>
    <w:rsid w:val="009A6BFD"/>
    <w:rsid w:val="009B1477"/>
    <w:rsid w:val="009B2769"/>
    <w:rsid w:val="009B36B1"/>
    <w:rsid w:val="009B5CA6"/>
    <w:rsid w:val="009C2600"/>
    <w:rsid w:val="009C3F78"/>
    <w:rsid w:val="009C731F"/>
    <w:rsid w:val="009C7412"/>
    <w:rsid w:val="009E081A"/>
    <w:rsid w:val="009E2032"/>
    <w:rsid w:val="009E3861"/>
    <w:rsid w:val="009E45DF"/>
    <w:rsid w:val="009E5741"/>
    <w:rsid w:val="009F1CBD"/>
    <w:rsid w:val="009F5558"/>
    <w:rsid w:val="00A00984"/>
    <w:rsid w:val="00A02747"/>
    <w:rsid w:val="00A0597C"/>
    <w:rsid w:val="00A0722E"/>
    <w:rsid w:val="00A12929"/>
    <w:rsid w:val="00A150F7"/>
    <w:rsid w:val="00A156A8"/>
    <w:rsid w:val="00A233F6"/>
    <w:rsid w:val="00A24D2C"/>
    <w:rsid w:val="00A25B27"/>
    <w:rsid w:val="00A27C8E"/>
    <w:rsid w:val="00A307E0"/>
    <w:rsid w:val="00A32C1E"/>
    <w:rsid w:val="00A33024"/>
    <w:rsid w:val="00A3498E"/>
    <w:rsid w:val="00A3702E"/>
    <w:rsid w:val="00A37CF8"/>
    <w:rsid w:val="00A41796"/>
    <w:rsid w:val="00A422D1"/>
    <w:rsid w:val="00A440A3"/>
    <w:rsid w:val="00A44C4F"/>
    <w:rsid w:val="00A46C68"/>
    <w:rsid w:val="00A47C87"/>
    <w:rsid w:val="00A53C2C"/>
    <w:rsid w:val="00A54773"/>
    <w:rsid w:val="00A609B2"/>
    <w:rsid w:val="00A61615"/>
    <w:rsid w:val="00A6449B"/>
    <w:rsid w:val="00A65443"/>
    <w:rsid w:val="00A659A2"/>
    <w:rsid w:val="00A70753"/>
    <w:rsid w:val="00A72D12"/>
    <w:rsid w:val="00A74FF6"/>
    <w:rsid w:val="00A7607D"/>
    <w:rsid w:val="00A80115"/>
    <w:rsid w:val="00A82499"/>
    <w:rsid w:val="00A82E0B"/>
    <w:rsid w:val="00A84B68"/>
    <w:rsid w:val="00A853F3"/>
    <w:rsid w:val="00A87625"/>
    <w:rsid w:val="00A913DD"/>
    <w:rsid w:val="00A914FD"/>
    <w:rsid w:val="00A91CDD"/>
    <w:rsid w:val="00A92ADD"/>
    <w:rsid w:val="00A952F3"/>
    <w:rsid w:val="00A953F4"/>
    <w:rsid w:val="00A9703C"/>
    <w:rsid w:val="00A9762F"/>
    <w:rsid w:val="00A97767"/>
    <w:rsid w:val="00A97C3D"/>
    <w:rsid w:val="00AA0BA9"/>
    <w:rsid w:val="00AA120A"/>
    <w:rsid w:val="00AA125D"/>
    <w:rsid w:val="00AA4354"/>
    <w:rsid w:val="00AA4ED7"/>
    <w:rsid w:val="00AA7010"/>
    <w:rsid w:val="00AB175F"/>
    <w:rsid w:val="00AB277C"/>
    <w:rsid w:val="00AB5C14"/>
    <w:rsid w:val="00AC117A"/>
    <w:rsid w:val="00AC2664"/>
    <w:rsid w:val="00AC349E"/>
    <w:rsid w:val="00AC52F9"/>
    <w:rsid w:val="00AD043B"/>
    <w:rsid w:val="00AD1E15"/>
    <w:rsid w:val="00AD469B"/>
    <w:rsid w:val="00AD5203"/>
    <w:rsid w:val="00AD5B25"/>
    <w:rsid w:val="00AD708A"/>
    <w:rsid w:val="00AE209B"/>
    <w:rsid w:val="00AE6EAE"/>
    <w:rsid w:val="00AF1D36"/>
    <w:rsid w:val="00AF3435"/>
    <w:rsid w:val="00AF504A"/>
    <w:rsid w:val="00AF7D0D"/>
    <w:rsid w:val="00B022BB"/>
    <w:rsid w:val="00B0455D"/>
    <w:rsid w:val="00B04945"/>
    <w:rsid w:val="00B051B0"/>
    <w:rsid w:val="00B07C7F"/>
    <w:rsid w:val="00B11931"/>
    <w:rsid w:val="00B14FAF"/>
    <w:rsid w:val="00B15AD4"/>
    <w:rsid w:val="00B16457"/>
    <w:rsid w:val="00B221C7"/>
    <w:rsid w:val="00B246CF"/>
    <w:rsid w:val="00B26DAA"/>
    <w:rsid w:val="00B27532"/>
    <w:rsid w:val="00B275D8"/>
    <w:rsid w:val="00B27BF3"/>
    <w:rsid w:val="00B30267"/>
    <w:rsid w:val="00B31CE8"/>
    <w:rsid w:val="00B32198"/>
    <w:rsid w:val="00B32587"/>
    <w:rsid w:val="00B353B7"/>
    <w:rsid w:val="00B353C0"/>
    <w:rsid w:val="00B3578E"/>
    <w:rsid w:val="00B379A1"/>
    <w:rsid w:val="00B401F1"/>
    <w:rsid w:val="00B404D0"/>
    <w:rsid w:val="00B44365"/>
    <w:rsid w:val="00B44AA9"/>
    <w:rsid w:val="00B44F6B"/>
    <w:rsid w:val="00B459F9"/>
    <w:rsid w:val="00B47804"/>
    <w:rsid w:val="00B47984"/>
    <w:rsid w:val="00B57F9C"/>
    <w:rsid w:val="00B63904"/>
    <w:rsid w:val="00B64DEF"/>
    <w:rsid w:val="00B66C10"/>
    <w:rsid w:val="00B67B2F"/>
    <w:rsid w:val="00B7636B"/>
    <w:rsid w:val="00B769F3"/>
    <w:rsid w:val="00B77646"/>
    <w:rsid w:val="00B77E84"/>
    <w:rsid w:val="00B805E0"/>
    <w:rsid w:val="00B80A21"/>
    <w:rsid w:val="00B823BA"/>
    <w:rsid w:val="00B82D1E"/>
    <w:rsid w:val="00B836D9"/>
    <w:rsid w:val="00B84CAE"/>
    <w:rsid w:val="00B91AD4"/>
    <w:rsid w:val="00B92375"/>
    <w:rsid w:val="00B93F5E"/>
    <w:rsid w:val="00B95CE5"/>
    <w:rsid w:val="00B96D59"/>
    <w:rsid w:val="00B96F39"/>
    <w:rsid w:val="00B97A2B"/>
    <w:rsid w:val="00BA1966"/>
    <w:rsid w:val="00BA6257"/>
    <w:rsid w:val="00BB1186"/>
    <w:rsid w:val="00BB3CCD"/>
    <w:rsid w:val="00BB4CA4"/>
    <w:rsid w:val="00BB5CDE"/>
    <w:rsid w:val="00BB6EC0"/>
    <w:rsid w:val="00BC04B5"/>
    <w:rsid w:val="00BC0DCD"/>
    <w:rsid w:val="00BC1A5B"/>
    <w:rsid w:val="00BC4CAD"/>
    <w:rsid w:val="00BC5CCE"/>
    <w:rsid w:val="00BD0014"/>
    <w:rsid w:val="00BD2E36"/>
    <w:rsid w:val="00BD36EE"/>
    <w:rsid w:val="00BD509D"/>
    <w:rsid w:val="00BD5A27"/>
    <w:rsid w:val="00BD5CB4"/>
    <w:rsid w:val="00BD7661"/>
    <w:rsid w:val="00BD7CD1"/>
    <w:rsid w:val="00BE0843"/>
    <w:rsid w:val="00BE3B3D"/>
    <w:rsid w:val="00BE6D33"/>
    <w:rsid w:val="00BE730C"/>
    <w:rsid w:val="00BF66A8"/>
    <w:rsid w:val="00C0268B"/>
    <w:rsid w:val="00C046C9"/>
    <w:rsid w:val="00C07E0B"/>
    <w:rsid w:val="00C174F0"/>
    <w:rsid w:val="00C27870"/>
    <w:rsid w:val="00C31986"/>
    <w:rsid w:val="00C3381F"/>
    <w:rsid w:val="00C35FFA"/>
    <w:rsid w:val="00C400DD"/>
    <w:rsid w:val="00C40F46"/>
    <w:rsid w:val="00C42038"/>
    <w:rsid w:val="00C44EB0"/>
    <w:rsid w:val="00C46CE0"/>
    <w:rsid w:val="00C51C97"/>
    <w:rsid w:val="00C544E9"/>
    <w:rsid w:val="00C57145"/>
    <w:rsid w:val="00C65197"/>
    <w:rsid w:val="00C66A75"/>
    <w:rsid w:val="00C679DC"/>
    <w:rsid w:val="00C700DD"/>
    <w:rsid w:val="00C705D7"/>
    <w:rsid w:val="00C72499"/>
    <w:rsid w:val="00C75BD6"/>
    <w:rsid w:val="00C823D4"/>
    <w:rsid w:val="00C828E0"/>
    <w:rsid w:val="00C82F7C"/>
    <w:rsid w:val="00C830D9"/>
    <w:rsid w:val="00C847EE"/>
    <w:rsid w:val="00C8587D"/>
    <w:rsid w:val="00C87539"/>
    <w:rsid w:val="00C921AA"/>
    <w:rsid w:val="00C921D8"/>
    <w:rsid w:val="00C9250E"/>
    <w:rsid w:val="00C9288E"/>
    <w:rsid w:val="00C940D6"/>
    <w:rsid w:val="00C94BE5"/>
    <w:rsid w:val="00C9741F"/>
    <w:rsid w:val="00CA41AC"/>
    <w:rsid w:val="00CA44EC"/>
    <w:rsid w:val="00CA7A44"/>
    <w:rsid w:val="00CB23AB"/>
    <w:rsid w:val="00CB57DC"/>
    <w:rsid w:val="00CB61BE"/>
    <w:rsid w:val="00CC05C0"/>
    <w:rsid w:val="00CC085F"/>
    <w:rsid w:val="00CC08ED"/>
    <w:rsid w:val="00CC3E23"/>
    <w:rsid w:val="00CD0B3F"/>
    <w:rsid w:val="00CD2A03"/>
    <w:rsid w:val="00CD2DA7"/>
    <w:rsid w:val="00CE197A"/>
    <w:rsid w:val="00CE21F5"/>
    <w:rsid w:val="00CE27A3"/>
    <w:rsid w:val="00CE2AC8"/>
    <w:rsid w:val="00CE5AF1"/>
    <w:rsid w:val="00CF5CD6"/>
    <w:rsid w:val="00D0436A"/>
    <w:rsid w:val="00D04B8E"/>
    <w:rsid w:val="00D06F56"/>
    <w:rsid w:val="00D12D85"/>
    <w:rsid w:val="00D1307E"/>
    <w:rsid w:val="00D15771"/>
    <w:rsid w:val="00D16104"/>
    <w:rsid w:val="00D17C54"/>
    <w:rsid w:val="00D2115C"/>
    <w:rsid w:val="00D22B29"/>
    <w:rsid w:val="00D35C45"/>
    <w:rsid w:val="00D367DF"/>
    <w:rsid w:val="00D37A06"/>
    <w:rsid w:val="00D43BA6"/>
    <w:rsid w:val="00D43C46"/>
    <w:rsid w:val="00D43CDE"/>
    <w:rsid w:val="00D46323"/>
    <w:rsid w:val="00D4649F"/>
    <w:rsid w:val="00D465BF"/>
    <w:rsid w:val="00D548A7"/>
    <w:rsid w:val="00D54A81"/>
    <w:rsid w:val="00D55EB9"/>
    <w:rsid w:val="00D56330"/>
    <w:rsid w:val="00D5717C"/>
    <w:rsid w:val="00D5791A"/>
    <w:rsid w:val="00D57FA8"/>
    <w:rsid w:val="00D6015E"/>
    <w:rsid w:val="00D62BAA"/>
    <w:rsid w:val="00D637C6"/>
    <w:rsid w:val="00D63D44"/>
    <w:rsid w:val="00D65255"/>
    <w:rsid w:val="00D6552E"/>
    <w:rsid w:val="00D67175"/>
    <w:rsid w:val="00D70310"/>
    <w:rsid w:val="00D725C5"/>
    <w:rsid w:val="00D7367B"/>
    <w:rsid w:val="00D75756"/>
    <w:rsid w:val="00D81B83"/>
    <w:rsid w:val="00D81F48"/>
    <w:rsid w:val="00D83E85"/>
    <w:rsid w:val="00D85B4C"/>
    <w:rsid w:val="00D8722F"/>
    <w:rsid w:val="00D879C6"/>
    <w:rsid w:val="00D906AF"/>
    <w:rsid w:val="00D91D77"/>
    <w:rsid w:val="00D91E65"/>
    <w:rsid w:val="00D95A58"/>
    <w:rsid w:val="00D95C70"/>
    <w:rsid w:val="00D9604F"/>
    <w:rsid w:val="00D96C8E"/>
    <w:rsid w:val="00D96DF5"/>
    <w:rsid w:val="00DA24ED"/>
    <w:rsid w:val="00DA48DF"/>
    <w:rsid w:val="00DA6FDA"/>
    <w:rsid w:val="00DB0953"/>
    <w:rsid w:val="00DB491C"/>
    <w:rsid w:val="00DB6B84"/>
    <w:rsid w:val="00DB6E47"/>
    <w:rsid w:val="00DC0C41"/>
    <w:rsid w:val="00DC29A2"/>
    <w:rsid w:val="00DC33EA"/>
    <w:rsid w:val="00DC4FA1"/>
    <w:rsid w:val="00DC51B7"/>
    <w:rsid w:val="00DC6831"/>
    <w:rsid w:val="00DD428C"/>
    <w:rsid w:val="00DD53CF"/>
    <w:rsid w:val="00DD716A"/>
    <w:rsid w:val="00DE05A5"/>
    <w:rsid w:val="00DE17D3"/>
    <w:rsid w:val="00DE2385"/>
    <w:rsid w:val="00DE26AA"/>
    <w:rsid w:val="00DE2B1D"/>
    <w:rsid w:val="00DE5944"/>
    <w:rsid w:val="00DE6E1B"/>
    <w:rsid w:val="00DE7E28"/>
    <w:rsid w:val="00DF105A"/>
    <w:rsid w:val="00DF166D"/>
    <w:rsid w:val="00DF78AF"/>
    <w:rsid w:val="00E032D0"/>
    <w:rsid w:val="00E160C1"/>
    <w:rsid w:val="00E17AB2"/>
    <w:rsid w:val="00E23DA6"/>
    <w:rsid w:val="00E256E4"/>
    <w:rsid w:val="00E2761E"/>
    <w:rsid w:val="00E31FA9"/>
    <w:rsid w:val="00E34325"/>
    <w:rsid w:val="00E367B5"/>
    <w:rsid w:val="00E37A05"/>
    <w:rsid w:val="00E441D0"/>
    <w:rsid w:val="00E512CD"/>
    <w:rsid w:val="00E53728"/>
    <w:rsid w:val="00E609D3"/>
    <w:rsid w:val="00E6196B"/>
    <w:rsid w:val="00E64DCB"/>
    <w:rsid w:val="00E70490"/>
    <w:rsid w:val="00E726F9"/>
    <w:rsid w:val="00E75EAC"/>
    <w:rsid w:val="00E7723C"/>
    <w:rsid w:val="00E82691"/>
    <w:rsid w:val="00E8312A"/>
    <w:rsid w:val="00E84088"/>
    <w:rsid w:val="00E92CB7"/>
    <w:rsid w:val="00E94382"/>
    <w:rsid w:val="00EA18BA"/>
    <w:rsid w:val="00EA224B"/>
    <w:rsid w:val="00EA56D3"/>
    <w:rsid w:val="00EB324D"/>
    <w:rsid w:val="00EB4305"/>
    <w:rsid w:val="00EB7630"/>
    <w:rsid w:val="00EC143C"/>
    <w:rsid w:val="00EC15BD"/>
    <w:rsid w:val="00EC21EE"/>
    <w:rsid w:val="00EC4E30"/>
    <w:rsid w:val="00EC66E2"/>
    <w:rsid w:val="00ED048F"/>
    <w:rsid w:val="00ED1F7E"/>
    <w:rsid w:val="00ED266B"/>
    <w:rsid w:val="00ED4AAD"/>
    <w:rsid w:val="00ED636E"/>
    <w:rsid w:val="00ED641D"/>
    <w:rsid w:val="00EE11AE"/>
    <w:rsid w:val="00EE187C"/>
    <w:rsid w:val="00EE26B1"/>
    <w:rsid w:val="00EE2C3B"/>
    <w:rsid w:val="00EE42F9"/>
    <w:rsid w:val="00EE5B82"/>
    <w:rsid w:val="00EE62D6"/>
    <w:rsid w:val="00EF19B4"/>
    <w:rsid w:val="00EF2837"/>
    <w:rsid w:val="00EF4D0A"/>
    <w:rsid w:val="00EF4D5A"/>
    <w:rsid w:val="00F0157D"/>
    <w:rsid w:val="00F01593"/>
    <w:rsid w:val="00F01B41"/>
    <w:rsid w:val="00F01E34"/>
    <w:rsid w:val="00F0287E"/>
    <w:rsid w:val="00F04C6D"/>
    <w:rsid w:val="00F12B6E"/>
    <w:rsid w:val="00F1351A"/>
    <w:rsid w:val="00F15378"/>
    <w:rsid w:val="00F15C8F"/>
    <w:rsid w:val="00F16565"/>
    <w:rsid w:val="00F17CF5"/>
    <w:rsid w:val="00F202B8"/>
    <w:rsid w:val="00F2067E"/>
    <w:rsid w:val="00F213E7"/>
    <w:rsid w:val="00F21546"/>
    <w:rsid w:val="00F21F67"/>
    <w:rsid w:val="00F24742"/>
    <w:rsid w:val="00F27780"/>
    <w:rsid w:val="00F31265"/>
    <w:rsid w:val="00F326F3"/>
    <w:rsid w:val="00F3279B"/>
    <w:rsid w:val="00F33190"/>
    <w:rsid w:val="00F36CBC"/>
    <w:rsid w:val="00F37AB7"/>
    <w:rsid w:val="00F401E5"/>
    <w:rsid w:val="00F4480A"/>
    <w:rsid w:val="00F449A9"/>
    <w:rsid w:val="00F53FDE"/>
    <w:rsid w:val="00F54786"/>
    <w:rsid w:val="00F54D21"/>
    <w:rsid w:val="00F6037E"/>
    <w:rsid w:val="00F63DA0"/>
    <w:rsid w:val="00F65BA5"/>
    <w:rsid w:val="00F67DEE"/>
    <w:rsid w:val="00F70521"/>
    <w:rsid w:val="00F70C44"/>
    <w:rsid w:val="00F70FD2"/>
    <w:rsid w:val="00F71422"/>
    <w:rsid w:val="00F72EA7"/>
    <w:rsid w:val="00F7302C"/>
    <w:rsid w:val="00F7598E"/>
    <w:rsid w:val="00F75F2F"/>
    <w:rsid w:val="00F76566"/>
    <w:rsid w:val="00F7728C"/>
    <w:rsid w:val="00F80396"/>
    <w:rsid w:val="00F81743"/>
    <w:rsid w:val="00F81CAE"/>
    <w:rsid w:val="00F84182"/>
    <w:rsid w:val="00F8462C"/>
    <w:rsid w:val="00F86911"/>
    <w:rsid w:val="00F87E11"/>
    <w:rsid w:val="00F91903"/>
    <w:rsid w:val="00F924DF"/>
    <w:rsid w:val="00F94AAD"/>
    <w:rsid w:val="00F96D73"/>
    <w:rsid w:val="00FA0166"/>
    <w:rsid w:val="00FA0C37"/>
    <w:rsid w:val="00FA1883"/>
    <w:rsid w:val="00FA2C38"/>
    <w:rsid w:val="00FA314F"/>
    <w:rsid w:val="00FA5058"/>
    <w:rsid w:val="00FA67A6"/>
    <w:rsid w:val="00FB0D93"/>
    <w:rsid w:val="00FB2164"/>
    <w:rsid w:val="00FB55BD"/>
    <w:rsid w:val="00FC548F"/>
    <w:rsid w:val="00FC6EAC"/>
    <w:rsid w:val="00FD1732"/>
    <w:rsid w:val="00FD3B03"/>
    <w:rsid w:val="00FD4FDD"/>
    <w:rsid w:val="00FD67E6"/>
    <w:rsid w:val="00FD7C3A"/>
    <w:rsid w:val="00FE3601"/>
    <w:rsid w:val="00FE6B9F"/>
    <w:rsid w:val="00FE7723"/>
    <w:rsid w:val="00FE7AF1"/>
    <w:rsid w:val="00FF2472"/>
    <w:rsid w:val="00FF3A47"/>
    <w:rsid w:val="00FF5EC2"/>
    <w:rsid w:val="02742772"/>
    <w:rsid w:val="0EF644A3"/>
    <w:rsid w:val="1A944BD9"/>
    <w:rsid w:val="337463ED"/>
    <w:rsid w:val="35DE1B0F"/>
    <w:rsid w:val="4462136D"/>
    <w:rsid w:val="655C49A8"/>
    <w:rsid w:val="6D7460C3"/>
    <w:rsid w:val="737469B6"/>
    <w:rsid w:val="75821BE9"/>
    <w:rsid w:val="7DE1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8"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2">
    <w:name w:val="heading 2"/>
    <w:basedOn w:val="3"/>
    <w:next w:val="1"/>
    <w:unhideWhenUsed/>
    <w:qFormat/>
    <w:uiPriority w:val="8"/>
    <w:pPr>
      <w:keepNext/>
      <w:keepLines/>
      <w:widowControl/>
      <w:outlineLvl w:val="1"/>
    </w:pPr>
    <w:rPr>
      <w:rFonts w:ascii="Calibri Light" w:hAnsi="Calibri Light" w:eastAsia="Calibri Light"/>
      <w:b/>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2"/>
    <w:basedOn w:val="1"/>
    <w:next w:val="1"/>
    <w:qFormat/>
    <w:uiPriority w:val="0"/>
    <w:pPr>
      <w:ind w:left="420" w:leftChars="2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rFonts w:ascii="Times New Roman" w:hAnsi="Times New Roman" w:eastAsia="宋体" w:cs="Times New Roman"/>
      <w:sz w:val="24"/>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link w:val="18"/>
    <w:qFormat/>
    <w:uiPriority w:val="34"/>
    <w:pPr>
      <w:ind w:firstLine="420" w:firstLineChars="200"/>
    </w:p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批注框文本 Char"/>
    <w:basedOn w:val="12"/>
    <w:link w:val="5"/>
    <w:semiHidden/>
    <w:qFormat/>
    <w:uiPriority w:val="99"/>
    <w:rPr>
      <w:sz w:val="18"/>
      <w:szCs w:val="18"/>
    </w:rPr>
  </w:style>
  <w:style w:type="character" w:customStyle="1" w:styleId="17">
    <w:name w:val="标题 1 Char"/>
    <w:basedOn w:val="12"/>
    <w:link w:val="4"/>
    <w:qFormat/>
    <w:uiPriority w:val="9"/>
    <w:rPr>
      <w:b/>
      <w:bCs/>
      <w:kern w:val="44"/>
      <w:sz w:val="44"/>
      <w:szCs w:val="44"/>
    </w:rPr>
  </w:style>
  <w:style w:type="character" w:customStyle="1" w:styleId="18">
    <w:name w:val="列出段落 Char"/>
    <w:link w:val="13"/>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7488</Words>
  <Characters>7648</Characters>
  <Lines>57</Lines>
  <Paragraphs>16</Paragraphs>
  <TotalTime>2100</TotalTime>
  <ScaleCrop>false</ScaleCrop>
  <LinksUpToDate>false</LinksUpToDate>
  <CharactersWithSpaces>7687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2021-09-22T02:21:00Z</dcterms:created>
  <dc:creator>user</dc:creator>
  <cp:lastModifiedBy>魏冬</cp:lastModifiedBy>
  <cp:lastPrinted>2021-01-21T09:04:00Z</cp:lastPrinted>
  <dcterms:modified xsi:type="dcterms:W3CDTF">2022-07-26T23:51:43Z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F44AA23811EB4CB197528B43887512AD</vt:lpwstr>
  </property>
</Properties>
</file>