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 w:line="560" w:lineRule="exact"/>
        <w:jc w:val="center"/>
        <w:outlineLvl w:val="0"/>
        <w:rPr>
          <w:rFonts w:hint="eastAsia"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采购项目技术和商务要求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/>
          <w:color w:val="000000"/>
          <w:sz w:val="28"/>
          <w:szCs w:val="28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黑体"/>
          <w:color w:val="000000"/>
          <w:sz w:val="28"/>
          <w:szCs w:val="28"/>
          <w:highlight w:val="none"/>
          <w:lang w:eastAsia="zh-CN"/>
        </w:rPr>
        <w:t>采购项目</w:t>
      </w:r>
      <w:r>
        <w:rPr>
          <w:rFonts w:ascii="Times New Roman" w:hAnsi="Times New Roman" w:eastAsia="黑体"/>
          <w:color w:val="000000"/>
          <w:sz w:val="28"/>
          <w:szCs w:val="28"/>
          <w:highlight w:val="none"/>
          <w:lang w:eastAsia="zh-CN"/>
        </w:rPr>
        <w:t>一览表</w:t>
      </w:r>
    </w:p>
    <w:tbl>
      <w:tblPr>
        <w:tblStyle w:val="5"/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1164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采购编号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设备最高限价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2022-JKMXJY-W3033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全自动液基细胞制片染色及AI分析处理系统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套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highlight w:val="none"/>
              </w:rPr>
              <w:t>国产 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3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配套耗材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耗材年预估量（台/年）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耗材最高限价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（单价）元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耗材最高限价（总价）元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液基细胞和微生物处理、保存试剂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20000人份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55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1</w:t>
            </w:r>
            <w:r>
              <w:rPr>
                <w:rFonts w:ascii="宋体" w:hAnsi="宋体"/>
                <w:highlight w:val="none"/>
              </w:rPr>
              <w:t>1</w:t>
            </w:r>
            <w:r>
              <w:rPr>
                <w:rFonts w:hint="eastAsia" w:ascii="宋体" w:hAnsi="宋体"/>
                <w:highlight w:val="none"/>
              </w:rPr>
              <w:t>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7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合计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highlight w:val="none"/>
              </w:rPr>
              <w:t>1100000.00</w:t>
            </w:r>
          </w:p>
        </w:tc>
      </w:tr>
    </w:tbl>
    <w:p>
      <w:pPr>
        <w:pStyle w:val="14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hAnsi="Times New Roman" w:eastAsia="黑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highlight w:val="none"/>
          <w:lang w:eastAsia="zh-CN"/>
        </w:rPr>
        <w:t>二、</w:t>
      </w:r>
      <w:r>
        <w:rPr>
          <w:rFonts w:hint="eastAsia" w:ascii="Times New Roman" w:hAnsi="Times New Roman" w:eastAsia="黑体"/>
          <w:color w:val="000000"/>
          <w:sz w:val="28"/>
          <w:szCs w:val="28"/>
          <w:highlight w:val="none"/>
          <w:lang w:eastAsia="zh-CN"/>
        </w:rPr>
        <w:t>采购项目技术要求</w:t>
      </w:r>
    </w:p>
    <w:tbl>
      <w:tblPr>
        <w:tblStyle w:val="5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55"/>
        <w:gridCol w:w="1461"/>
        <w:gridCol w:w="107"/>
        <w:gridCol w:w="265"/>
        <w:gridCol w:w="1590"/>
        <w:gridCol w:w="1545"/>
        <w:gridCol w:w="36"/>
        <w:gridCol w:w="156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10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10"/>
            <w:vAlign w:val="center"/>
          </w:tcPr>
          <w:p>
            <w:pPr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全自动液基细胞制片染色系统：</w:t>
            </w:r>
          </w:p>
          <w:p>
            <w:pPr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用于包括宫颈细胞、痰细胞、浆膜腔积液细胞、尿液细胞、针吸及内窥镜细胞等细胞检查；自动批量染色，每批次可处理的标本量≥48人份。</w:t>
            </w:r>
          </w:p>
          <w:p>
            <w:pPr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AI分析处理系统：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</w:rPr>
              <w:t>基于宫颈液基细胞学制片的图像分析，能够将待检的玻片自动生成全信息数字化图像，同时人工智能算法会对数字化图像进行扫描和识别，精确定位各类可能病变细胞和微生物，自动排除阴性病例。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制片染色一体机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操控屏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自动样本转移机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 xml:space="preserve">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离心机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旋涡振荡器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液基振荡器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 xml:space="preserve">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玻片扫描仪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6" w:type="dxa"/>
            <w:gridSpan w:val="4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病理医学图像分析处理系统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整机要求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主要用途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宫颈细胞学和非宫颈细胞学制片染色的全自动化设备，并配备AI智能分析系统，辅助诊断。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适用范围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包括宫颈细胞、痰细胞、浆膜腔积液细胞、尿液细胞、针吸及内窥镜细胞等系列。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.3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仿宋" w:hAnsi="仿宋" w:eastAsia="仿宋" w:cs="仿宋"/>
                <w:szCs w:val="28"/>
              </w:rPr>
              <w:t xml:space="preserve">★ </w:t>
            </w:r>
            <w:r>
              <w:rPr>
                <w:rFonts w:hint="eastAsia" w:ascii="宋体" w:hAnsi="宋体"/>
              </w:rPr>
              <w:t>设备资质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全自动液基细胞制片染色具有医疗器械注册证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1.4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仿宋" w:hAnsi="仿宋" w:eastAsia="仿宋" w:cs="仿宋"/>
                <w:szCs w:val="28"/>
              </w:rPr>
              <w:t xml:space="preserve">★ </w:t>
            </w:r>
            <w:r>
              <w:rPr>
                <w:rFonts w:hint="eastAsia" w:ascii="宋体" w:hAnsi="宋体"/>
              </w:rPr>
              <w:t>软件资质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AI分析处理系统具有医疗器械注册证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1.5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仿宋" w:hAnsi="仿宋" w:eastAsia="仿宋" w:cs="仿宋"/>
                <w:szCs w:val="28"/>
              </w:rPr>
              <w:t xml:space="preserve">#  </w:t>
            </w:r>
            <w:r>
              <w:rPr>
                <w:rFonts w:hint="eastAsia" w:ascii="宋体" w:hAnsi="宋体"/>
              </w:rPr>
              <w:t>著作权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AI分析处理系统具有软件著作权证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.6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信息安全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支持接入医院信息系统，符合信息安全规定，数据本地化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配置要求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制片染色一体机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.1.1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制片原理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沉降式技术，选择性捕获病变细胞，并使细胞均匀平铺；前期处理过程中，通过密度分层技术，去除样本中的杂质。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.1.2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应用程序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妇科标本和非妇科标本可自动识别并运行相应的程序。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.1.3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运行流程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运行流程可实时显示并监控，程序可分步运行。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AI分析处理系统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ascii="宋体" w:hAnsi="宋体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仿宋" w:hAnsi="仿宋" w:eastAsia="仿宋" w:cs="仿宋"/>
                <w:szCs w:val="28"/>
              </w:rPr>
              <w:t xml:space="preserve">★ </w:t>
            </w:r>
            <w:r>
              <w:rPr>
                <w:rFonts w:hint="eastAsia" w:ascii="宋体" w:hAnsi="宋体" w:cs="宋体"/>
              </w:rPr>
              <w:t>玻片装载数量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≥5片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.2.2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仿宋" w:hAnsi="仿宋" w:eastAsia="仿宋" w:cs="仿宋"/>
                <w:szCs w:val="28"/>
              </w:rPr>
              <w:t xml:space="preserve">★ </w:t>
            </w:r>
            <w:r>
              <w:rPr>
                <w:rFonts w:hint="eastAsia" w:ascii="宋体" w:hAnsi="宋体" w:cs="宋体"/>
              </w:rPr>
              <w:t>物镜类型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20x   Plan APO 0.75NA无限远平场复消色差物镜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40x   Plan APO 0.95NA无限远平场复消色差物镜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.2.3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#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扫描模式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自动扫描：自动识别和扫描切片，扫描过程中无需手动干预。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手动扫描：允许对每张切片的扫描参数进行精细控制。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.2.4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标签识别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手动输入或者识别条形码、二维码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.2.5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扫描配置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pStyle w:val="13"/>
              <w:numPr>
                <w:ilvl w:val="0"/>
                <w:numId w:val="2"/>
              </w:numPr>
              <w:ind w:left="0" w:firstLine="0"/>
              <w:rPr>
                <w:rFonts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高清扫描模式，双物镜切换</w:t>
            </w:r>
          </w:p>
          <w:p>
            <w:pPr>
              <w:pStyle w:val="13"/>
              <w:numPr>
                <w:ilvl w:val="0"/>
                <w:numId w:val="2"/>
              </w:numPr>
              <w:ind w:left="0" w:firstLine="0"/>
              <w:rPr>
                <w:rFonts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多层扫描，多层融合扫描</w:t>
            </w:r>
          </w:p>
          <w:p>
            <w:pPr>
              <w:pStyle w:val="13"/>
              <w:numPr>
                <w:ilvl w:val="0"/>
                <w:numId w:val="2"/>
              </w:numPr>
              <w:ind w:left="0" w:firstLine="0"/>
              <w:rPr>
                <w:rFonts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自动识别扫描区域，手动更改扫描方位</w:t>
            </w:r>
          </w:p>
          <w:p>
            <w:pPr>
              <w:pStyle w:val="13"/>
              <w:numPr>
                <w:ilvl w:val="0"/>
                <w:numId w:val="2"/>
              </w:numPr>
              <w:ind w:left="0" w:firstLine="0"/>
              <w:rPr>
                <w:rFonts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自动对焦，手动更改对焦点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.2.6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扫描方式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面扫描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功能要求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宋体"/>
              </w:rPr>
              <w:t>制片染色一体机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染色片量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自动制片染色一体化设备：自动批量染色，每批次可处理的标本量≥48人份。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.1.2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制片通量及时间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制片通量≥1-48片/批，每批次时间≤50分钟。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.1.3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制片重复性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同一样本可以重复制片10张及以上高度重复性与一致性的玻片。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AI分析处理系统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.2.1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扫描分辨率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20X：0.278微米/像素</w:t>
            </w:r>
            <w:r>
              <w:rPr>
                <w:rFonts w:hint="eastAsia" w:ascii="宋体" w:hAnsi="宋体" w:cs="黑体"/>
              </w:rPr>
              <w:br w:type="textWrapping"/>
            </w:r>
            <w:r>
              <w:rPr>
                <w:rFonts w:hint="eastAsia" w:ascii="宋体" w:hAnsi="宋体" w:cs="黑体"/>
              </w:rPr>
              <w:t>40X：0.15微米/像素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.2.2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#</w:t>
            </w:r>
            <w:r>
              <w:rPr>
                <w:rFonts w:ascii="宋体" w:hAnsi="宋体" w:cs="黑体"/>
              </w:rPr>
              <w:t xml:space="preserve"> </w:t>
            </w:r>
            <w:r>
              <w:rPr>
                <w:rFonts w:hint="eastAsia" w:ascii="宋体" w:hAnsi="宋体" w:cs="黑体"/>
              </w:rPr>
              <w:t>扫描速度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黑体"/>
              </w:rPr>
              <w:t>20X：≤120s；40X：≤240s（15mm*15mm面积）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.2.3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自动化程度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自动化上传切片、分析与结果返回；可进行自动化分片功能；支持数据批量导出与分析。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.2.4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宋体"/>
              </w:rPr>
              <w:t xml:space="preserve">★ </w:t>
            </w:r>
            <w:r>
              <w:rPr>
                <w:rFonts w:hint="eastAsia" w:ascii="宋体" w:hAnsi="宋体" w:cs="黑体"/>
              </w:rPr>
              <w:t>数据管理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 xml:space="preserve">多用户、多任务账号管理系统；提供科室公众数据库、医生私有数据库的管理分类；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.2.5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风险提示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可批量展示可疑细胞视野，对有疑问的视野进行实时反馈，并按照不同颜色标识风险等级，提供标准格式的TBS报告生成系统。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3.2.6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视野展示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根据置信度批量展示可疑细胞视野，≥40个视野.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其他要求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4.1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# </w:t>
            </w:r>
            <w:r>
              <w:rPr>
                <w:rFonts w:hint="eastAsia" w:ascii="宋体" w:hAnsi="宋体" w:cs="宋体"/>
              </w:rPr>
              <w:t>收费标准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质保期外仅收取配件费，免收维修费，上门</w:t>
            </w:r>
            <w:r>
              <w:rPr>
                <w:rFonts w:ascii="宋体" w:hAnsi="宋体" w:cs="宋体"/>
              </w:rPr>
              <w:t>费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人工费</w:t>
            </w:r>
            <w:r>
              <w:rPr>
                <w:rFonts w:hint="eastAsia" w:ascii="宋体" w:hAnsi="宋体" w:cs="宋体"/>
              </w:rPr>
              <w:t>等</w:t>
            </w:r>
            <w:r>
              <w:rPr>
                <w:rFonts w:ascii="宋体" w:hAnsi="宋体" w:cs="宋体"/>
              </w:rPr>
              <w:t>额外费用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4.2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ind w:left="36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★核查校准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设备使用</w:t>
            </w:r>
            <w:r>
              <w:rPr>
                <w:rFonts w:ascii="宋体" w:hAnsi="宋体" w:cs="宋体"/>
              </w:rPr>
              <w:t>至淘汰报废</w:t>
            </w:r>
            <w:r>
              <w:rPr>
                <w:rFonts w:hint="eastAsia" w:ascii="宋体" w:hAnsi="宋体" w:cs="宋体"/>
              </w:rPr>
              <w:t>前</w:t>
            </w:r>
            <w:r>
              <w:rPr>
                <w:rFonts w:ascii="宋体" w:hAnsi="宋体" w:cs="宋体"/>
              </w:rPr>
              <w:t>，</w:t>
            </w:r>
            <w:r>
              <w:rPr>
                <w:rFonts w:hint="eastAsia" w:ascii="宋体" w:hAnsi="宋体" w:cs="宋体"/>
              </w:rPr>
              <w:t>每年由</w:t>
            </w:r>
            <w:r>
              <w:rPr>
                <w:rFonts w:ascii="宋体" w:hAnsi="宋体" w:cs="宋体"/>
              </w:rPr>
              <w:t>厂家工程师</w:t>
            </w:r>
            <w:r>
              <w:rPr>
                <w:rFonts w:hint="eastAsia" w:ascii="宋体" w:hAnsi="宋体" w:cs="宋体"/>
              </w:rPr>
              <w:t>至少</w:t>
            </w:r>
            <w:r>
              <w:rPr>
                <w:rFonts w:ascii="宋体" w:hAnsi="宋体" w:cs="宋体"/>
              </w:rPr>
              <w:t>上门一次</w:t>
            </w:r>
            <w:r>
              <w:rPr>
                <w:rFonts w:hint="eastAsia" w:ascii="宋体" w:hAnsi="宋体" w:cs="宋体"/>
              </w:rPr>
              <w:t>提供原厂核查，</w:t>
            </w:r>
            <w:r>
              <w:rPr>
                <w:rFonts w:ascii="宋体" w:hAnsi="宋体" w:cs="宋体"/>
              </w:rPr>
              <w:t>并提供</w:t>
            </w:r>
            <w:r>
              <w:rPr>
                <w:rFonts w:hint="eastAsia" w:ascii="宋体" w:hAnsi="宋体" w:cs="宋体"/>
              </w:rPr>
              <w:t>校准报告（免费）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1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9" w:type="dxa"/>
            <w:gridSpan w:val="5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1、主要用途：用于病理科液基细胞学制片和染色；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2、适用范围：包括宫颈细胞、痰细胞、浆膜腔积液细胞、尿液细胞、针吸及内窥镜细胞等系列；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★3、注册证要求：获得药监局备案认证；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4</w:t>
            </w:r>
            <w:r>
              <w:rPr>
                <w:rFonts w:hint="eastAsia" w:ascii="宋体" w:hAnsi="宋体" w:cs="宋体"/>
                <w:kern w:val="2"/>
              </w:rPr>
              <w:t>、临床要求：能够满足临床一次取样，可同时进行细胞学和HPV检测；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5</w:t>
            </w:r>
            <w:r>
              <w:rPr>
                <w:rFonts w:hint="eastAsia" w:ascii="宋体" w:hAnsi="宋体" w:cs="宋体"/>
                <w:kern w:val="2"/>
              </w:rPr>
              <w:t>、染色方法：根据需要可分别进行巴氏或HE染色，标配相应染液；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6</w:t>
            </w:r>
            <w:r>
              <w:rPr>
                <w:rFonts w:hint="eastAsia" w:ascii="宋体" w:hAnsi="宋体" w:cs="宋体"/>
                <w:kern w:val="2"/>
              </w:rPr>
              <w:t>、产品名称、规格以医疗注册证/备案证或产品合格证标注的名称、规格为准；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>7</w:t>
            </w:r>
            <w:r>
              <w:rPr>
                <w:rFonts w:hint="eastAsia" w:ascii="宋体" w:hAnsi="宋体" w:cs="宋体"/>
                <w:kern w:val="2"/>
              </w:rPr>
              <w:t>、如涉及多个品规或产品，须另行附清单，标注名称、规格、单人份价格，包装规格以及包装价格；</w:t>
            </w:r>
          </w:p>
          <w:p>
            <w:r>
              <w:rPr>
                <w:rFonts w:hint="eastAsia" w:ascii="宋体" w:hAnsi="宋体" w:cs="宋体"/>
                <w:kern w:val="2"/>
              </w:rPr>
              <w:t>★8、每人份最高限价，包含辅助耗材，列明清单。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9" w:type="dxa"/>
            <w:gridSpan w:val="5"/>
            <w:vAlign w:val="center"/>
          </w:tcPr>
          <w:p>
            <w:r>
              <w:rPr>
                <w:rFonts w:hint="eastAsia"/>
              </w:rPr>
              <w:t>名称：液基细胞和微生物处理、保存试剂</w:t>
            </w:r>
          </w:p>
          <w:p>
            <w:r>
              <w:rPr>
                <w:rFonts w:hint="eastAsia"/>
              </w:rPr>
              <w:t>规格：人份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9" w:type="dxa"/>
            <w:gridSpan w:val="5"/>
            <w:vAlign w:val="center"/>
          </w:tcPr>
          <w:p>
            <w:r>
              <w:rPr>
                <w:rFonts w:hint="eastAsia"/>
              </w:rPr>
              <w:t>110万元/年/台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（台/年）</w:t>
            </w:r>
          </w:p>
        </w:tc>
        <w:tc>
          <w:tcPr>
            <w:tcW w:w="1560" w:type="dxa"/>
            <w:vAlign w:val="center"/>
          </w:tcPr>
          <w:p>
            <w:pPr>
              <w:ind w:firstLine="241" w:firstLineChars="10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最高限价</w:t>
            </w:r>
          </w:p>
          <w:p>
            <w:pPr>
              <w:ind w:firstLine="241" w:firstLineChars="10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液基细胞和微生物处理、保存试剂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人份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20000人份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55</w:t>
            </w:r>
          </w:p>
        </w:tc>
        <w:tc>
          <w:tcPr>
            <w:tcW w:w="1738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2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38" w:type="dxa"/>
            <w:vAlign w:val="center"/>
          </w:tcPr>
          <w:p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00" w:type="dxa"/>
            <w:gridSpan w:val="1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质保期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质保三年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备件库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西安有办事处,有备件库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维修站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西安有办事处,有维修站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收费标准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质保期外继续提供仪器的维修及定期维护保养，只收取零配件费用并保证零配件供应至该仪器（型号）停产后 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培训支持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可免费提供设备及人员培训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维修响应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工程师及技术支持2小时电话响应，4小时内到达现场。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到货时间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</w:rPr>
              <w:t>合同签订后45个日历日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41F9C"/>
    <w:multiLevelType w:val="multilevel"/>
    <w:tmpl w:val="05541F9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A2991"/>
    <w:multiLevelType w:val="multilevel"/>
    <w:tmpl w:val="39DA2991"/>
    <w:lvl w:ilvl="0" w:tentative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hint="eastAsia" w:cs="Times New Roman"/>
        <w:b w:val="0"/>
      </w:rPr>
    </w:lvl>
    <w:lvl w:ilvl="1" w:tentative="0">
      <w:start w:val="1"/>
      <w:numFmt w:val="japaneseCounting"/>
      <w:lvlText w:val="%2、"/>
      <w:lvlJc w:val="left"/>
      <w:pPr>
        <w:ind w:left="1701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473E40"/>
    <w:rsid w:val="000E59B5"/>
    <w:rsid w:val="00473E40"/>
    <w:rsid w:val="009E2418"/>
    <w:rsid w:val="00C951FC"/>
    <w:rsid w:val="3FB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uiPriority w:val="99"/>
    <w:pPr>
      <w:spacing w:after="12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脚 Char"/>
    <w:basedOn w:val="6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6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6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Char1"/>
    <w:basedOn w:val="6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List Paragraph Char"/>
    <w:link w:val="13"/>
    <w:qFormat/>
    <w:locked/>
    <w:uiPriority w:val="0"/>
    <w:rPr>
      <w:rFonts w:ascii="Calibri" w:hAnsi="Calibri"/>
      <w:sz w:val="22"/>
      <w:lang w:eastAsia="en-US"/>
    </w:rPr>
  </w:style>
  <w:style w:type="paragraph" w:customStyle="1" w:styleId="13">
    <w:name w:val="列出段落1"/>
    <w:basedOn w:val="1"/>
    <w:link w:val="12"/>
    <w:qFormat/>
    <w:uiPriority w:val="0"/>
    <w:pPr>
      <w:widowControl/>
      <w:ind w:left="720" w:firstLine="360"/>
      <w:jc w:val="left"/>
    </w:pPr>
    <w:rPr>
      <w:rFonts w:ascii="Calibri" w:hAnsi="Calibri" w:eastAsiaTheme="minorEastAsia" w:cstheme="minorBidi"/>
      <w:kern w:val="2"/>
      <w:sz w:val="22"/>
      <w:szCs w:val="22"/>
      <w:lang w:eastAsia="en-US"/>
    </w:rPr>
  </w:style>
  <w:style w:type="paragraph" w:customStyle="1" w:styleId="14">
    <w:name w:val="列表段落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15">
    <w:name w:val="正文文本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1891</Words>
  <Characters>2126</Characters>
  <Lines>17</Lines>
  <Paragraphs>4</Paragraphs>
  <TotalTime>1</TotalTime>
  <ScaleCrop>false</ScaleCrop>
  <LinksUpToDate>false</LinksUpToDate>
  <CharactersWithSpaces>2156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2022-07-20T11:27:00Z</dcterms:created>
  <dc:creator>薛盼</dc:creator>
  <cp:lastModifiedBy>六一三</cp:lastModifiedBy>
  <dcterms:modified xsi:type="dcterms:W3CDTF">2022-09-29T01:18:53Z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FD291309ECC44545B81E5BE0B23CAF74</vt:lpwstr>
  </property>
</Properties>
</file>