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numPr>
          <w:numId w:val="0"/>
        </w:num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eastAsia="方正小标宋简体"/>
          <w:sz w:val="44"/>
          <w:szCs w:val="44"/>
          <w:lang w:val="zh-CN"/>
        </w:rPr>
        <w:t>采购项目技术和商务要求</w:t>
      </w:r>
    </w:p>
    <w:p>
      <w:pPr>
        <w:pStyle w:val="6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405" w:leftChars="0" w:firstLineChars="0"/>
        <w:jc w:val="both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采购项目</w:t>
      </w:r>
      <w:r>
        <w:rPr>
          <w:rFonts w:ascii="Times New Roman" w:hAnsi="Times New Roman" w:eastAsia="黑体"/>
          <w:sz w:val="28"/>
          <w:szCs w:val="28"/>
          <w:lang w:eastAsia="zh-CN"/>
        </w:rPr>
        <w:t>一览表</w:t>
      </w:r>
    </w:p>
    <w:tbl>
      <w:tblPr>
        <w:tblStyle w:val="3"/>
        <w:tblpPr w:leftFromText="180" w:rightFromText="180" w:vertAnchor="text" w:horzAnchor="margin" w:tblpXSpec="center" w:tblpY="229"/>
        <w:tblW w:w="9739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42"/>
        <w:gridCol w:w="2410"/>
        <w:gridCol w:w="425"/>
        <w:gridCol w:w="426"/>
        <w:gridCol w:w="850"/>
        <w:gridCol w:w="851"/>
        <w:gridCol w:w="850"/>
        <w:gridCol w:w="821"/>
        <w:gridCol w:w="30"/>
        <w:gridCol w:w="1134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设备最高限价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2022-JKMXJY-W3036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微波快速组织脱水机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进口 □国产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3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配套耗材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耗材名称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耗材年预估量（台/年）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耗材最高限价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（单价）元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耗材最高限价（总价）元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脱水剂\透明剂\脱钙剂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/>
              </w:rPr>
              <w:t>00</w:t>
            </w:r>
          </w:p>
          <w:p>
            <w:pPr>
              <w:jc w:val="center"/>
            </w:pPr>
            <w:r>
              <w:t>50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360</w:t>
            </w:r>
          </w:p>
          <w:p>
            <w:pPr>
              <w:jc w:val="center"/>
            </w:pPr>
            <w:r>
              <w:t>3600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t>180</w:t>
            </w:r>
            <w:r>
              <w:rPr>
                <w:rFonts w:hint="eastAsia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0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180000</w:t>
            </w:r>
          </w:p>
        </w:tc>
      </w:tr>
    </w:tbl>
    <w:p>
      <w:pPr>
        <w:pStyle w:val="6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二、采购项目技术要求</w:t>
      </w:r>
    </w:p>
    <w:tbl>
      <w:tblPr>
        <w:tblStyle w:val="3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98"/>
        <w:gridCol w:w="544"/>
        <w:gridCol w:w="741"/>
        <w:gridCol w:w="1174"/>
        <w:gridCol w:w="107"/>
        <w:gridCol w:w="265"/>
        <w:gridCol w:w="1589"/>
        <w:gridCol w:w="1580"/>
        <w:gridCol w:w="1559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0000" w:type="dxa"/>
            <w:gridSpan w:val="11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0000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利用微波激发的终端能量、时间和温度的完美结合，保证快速连续处理组织，提高切片质量。配合一定组件，还可用于快速抗原修复、脱钙、大体器官预固定、组织化学染色和固定。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000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3270" w:type="dxa"/>
            <w:gridSpan w:val="6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3270" w:type="dxa"/>
            <w:gridSpan w:val="6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微波单元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3270" w:type="dxa"/>
            <w:gridSpan w:val="6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控制系统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000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指标名称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整机要求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1.1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产地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原装进口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提供医疗器械注册证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1.3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处理方式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1.4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操作界面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具备中文操作界面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1.5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质量认证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通过CE,13485认证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功能要求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2.1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功能要求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能实现组织处理、特异染色、抗原修复、脱钙、预固定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2.2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处理样品量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2.3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穿刺活检时间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≤30分钟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2.4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标准组织处理时间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90-120分钟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2.5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微波功率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0-800W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2.6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控制方式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2.7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记录功能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日志查看记录功能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2.8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数据格式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数据输出与记录满足CAP需求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配置要求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3.1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传感器配置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配备试剂检测传感器、微波泄漏传感器、湿度传感器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3.2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内置摄像头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便于观察组织处理状况，更加安全可靠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3.3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保护装置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激光指示定位模块、自动排风系统、高效活性炭过滤系统、腔体内部均为特氟龙涂层处理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3.4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温度传感器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红外非接触式温度传感器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3.5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操作方式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触屏操作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其他要求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4.1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# 收费标准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质保期外仅收取配件费，免收维修费，上门费、人工费等额外费用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4.2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★核查校准</w:t>
            </w:r>
          </w:p>
        </w:tc>
        <w:tc>
          <w:tcPr>
            <w:tcW w:w="683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设备使用至淘汰报废前，每年由厂家工程师至少上门一次提供原厂核查，并提供校准报告（免费）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0000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32"/>
              </w:rPr>
              <w:t>耗材明细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465" w:type="dxa"/>
            <w:gridSpan w:val="4"/>
            <w:vAlign w:val="center"/>
          </w:tcPr>
          <w:p>
            <w:r>
              <w:rPr>
                <w:rFonts w:hint="eastAsia" w:ascii="仿宋_GB2312" w:eastAsia="仿宋_GB2312"/>
              </w:rPr>
              <w:t xml:space="preserve">★ </w:t>
            </w:r>
            <w:r>
              <w:t>1.试剂需提供医疗器械注册证（或备案证）；</w:t>
            </w:r>
          </w:p>
          <w:p>
            <w:r>
              <w:rPr>
                <w:rFonts w:hint="eastAsia"/>
              </w:rPr>
              <w:t>#</w:t>
            </w:r>
            <w:r>
              <w:t xml:space="preserve"> 2.</w:t>
            </w:r>
            <w:r>
              <w:rPr>
                <w:rFonts w:hint="eastAsia"/>
              </w:rPr>
              <w:t>环保要求：</w:t>
            </w:r>
            <w:r>
              <w:t>要求环保试剂，成分不含甲醛、二甲苯</w:t>
            </w:r>
            <w:r>
              <w:rPr>
                <w:rFonts w:hint="eastAsia"/>
              </w:rPr>
              <w:t>、芳香族化合物</w:t>
            </w:r>
            <w:r>
              <w:t>等致癌物</w:t>
            </w:r>
            <w:r>
              <w:rPr>
                <w:rFonts w:hint="eastAsia"/>
              </w:rPr>
              <w:t>，无色、无味、无致癌、低毒性的溶剂；</w:t>
            </w:r>
          </w:p>
          <w:p>
            <w:r>
              <w:rPr>
                <w:rFonts w:hint="eastAsia"/>
              </w:rPr>
              <w:t>#</w:t>
            </w:r>
            <w:r>
              <w:t xml:space="preserve"> 3.</w:t>
            </w:r>
            <w:r>
              <w:rPr>
                <w:rFonts w:hint="eastAsia"/>
              </w:rPr>
              <w:t>脱水剂、透明剂为必须满足项，可分为单组试剂，也可以是二合一试剂；具备配套快速脱钙试剂加分</w:t>
            </w:r>
            <w:r>
              <w:t>；</w:t>
            </w:r>
          </w:p>
          <w:p>
            <w:r>
              <w:t>4. 试剂有效期2年以上</w:t>
            </w:r>
            <w:r>
              <w:rPr>
                <w:rFonts w:hint="eastAsia"/>
              </w:rPr>
              <w:t>，</w:t>
            </w:r>
            <w:r>
              <w:t>储存温度：5-30度；</w:t>
            </w:r>
          </w:p>
          <w:p>
            <w:pPr>
              <w:rPr>
                <w:rFonts w:hint="eastAsia"/>
              </w:rPr>
            </w:pPr>
            <w:r>
              <w:t>5.</w:t>
            </w:r>
            <w:r>
              <w:rPr>
                <w:rFonts w:hint="eastAsia"/>
              </w:rPr>
              <w:t>产品名称、规格以医疗注册证/备案证或产品合格证标注的名称、规格为准；</w:t>
            </w:r>
          </w:p>
          <w:p>
            <w:pPr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.如涉及多个品规或产品，须另行附清单，标注名称、规格、单人份价格，包装规格以及包装价格；</w:t>
            </w:r>
          </w:p>
          <w:p>
            <w:r>
              <w:t>7</w:t>
            </w:r>
            <w:r>
              <w:rPr>
                <w:rFonts w:hint="eastAsia"/>
              </w:rPr>
              <w:t>.每人份最高限价，包含辅助耗材。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465" w:type="dxa"/>
            <w:gridSpan w:val="4"/>
            <w:vAlign w:val="center"/>
          </w:tcPr>
          <w:p>
            <w:r>
              <w:rPr>
                <w:rFonts w:hint="eastAsia"/>
              </w:rPr>
              <w:t>脱水剂\透明剂\脱钙剂， ml/桶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465" w:type="dxa"/>
            <w:gridSpan w:val="4"/>
            <w:vAlign w:val="center"/>
          </w:tcPr>
          <w:p>
            <w:r>
              <w:rPr>
                <w:rFonts w:hint="eastAsia"/>
              </w:rPr>
              <w:t>18万元/年/台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（台/年）</w:t>
            </w:r>
          </w:p>
        </w:tc>
        <w:tc>
          <w:tcPr>
            <w:tcW w:w="1559" w:type="dxa"/>
            <w:vAlign w:val="center"/>
          </w:tcPr>
          <w:p>
            <w:pPr>
              <w:ind w:firstLine="241" w:firstLineChars="10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最高限价</w:t>
            </w:r>
          </w:p>
          <w:p>
            <w:pPr>
              <w:ind w:firstLine="241" w:firstLineChars="10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脱水剂\透明剂\脱钙剂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500ml /桶5000ml/桶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/>
              </w:rPr>
              <w:t>00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50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360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3600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180</w:t>
            </w:r>
            <w:r>
              <w:rPr>
                <w:rFonts w:hint="eastAsia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8263" w:type="dxa"/>
            <w:gridSpan w:val="10"/>
            <w:vAlign w:val="center"/>
          </w:tcPr>
          <w:p>
            <w:pPr>
              <w:ind w:firstLine="240" w:firstLineChars="10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wAfter w:w="0" w:type="auto"/>
          <w:trHeight w:val="397" w:hRule="atLeast"/>
          <w:jc w:val="center"/>
        </w:trPr>
        <w:tc>
          <w:tcPr>
            <w:tcW w:w="9994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质保期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备件库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维修站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收费标准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质保期外仅收取配件费，免收维修费、上门费、人工费等额外费用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培训支持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现场进行关于仪器设备使用、一般性维修及保养方面的技术培训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维修响应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4小时内相应，24小时到达现场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到货时间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2个月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A2991"/>
    <w:multiLevelType w:val="multilevel"/>
    <w:tmpl w:val="39DA2991"/>
    <w:lvl w:ilvl="0" w:tentative="0">
      <w:start w:val="1"/>
      <w:numFmt w:val="chineseCountingThousand"/>
      <w:suff w:val="nothing"/>
      <w:lvlText w:val="%1、"/>
      <w:lvlJc w:val="left"/>
      <w:pPr>
        <w:ind w:left="405" w:firstLine="555"/>
      </w:pPr>
      <w:rPr>
        <w:rFonts w:hint="eastAsia" w:cs="Times New Roman"/>
        <w:b w:val="0"/>
      </w:rPr>
    </w:lvl>
    <w:lvl w:ilvl="1" w:tentative="0">
      <w:start w:val="1"/>
      <w:numFmt w:val="japaneseCounting"/>
      <w:lvlText w:val="%2、"/>
      <w:lvlJc w:val="left"/>
      <w:pPr>
        <w:ind w:left="2093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221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3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05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47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89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31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733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0EB47F3B"/>
    <w:rsid w:val="120E3F77"/>
    <w:rsid w:val="310C01DA"/>
    <w:rsid w:val="4EF63E8E"/>
    <w:rsid w:val="542F4AC8"/>
    <w:rsid w:val="61127A69"/>
    <w:rsid w:val="6EF74F28"/>
    <w:rsid w:val="786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Theme="minorHAnsi" w:hAnsiTheme="minorHAnsi" w:eastAsiaTheme="minorEastAsia" w:cstheme="minorBidi"/>
      <w:kern w:val="2"/>
      <w:sz w:val="21"/>
    </w:rPr>
  </w:style>
  <w:style w:type="character" w:styleId="5">
    <w:name w:val="page number"/>
    <w:qFormat/>
    <w:uiPriority w:val="0"/>
    <w:rPr>
      <w:rFonts w:cs="Times New Roman"/>
    </w:rPr>
  </w:style>
  <w:style w:type="paragraph" w:customStyle="1" w:styleId="6">
    <w:name w:val="列表段落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7">
    <w:name w:val="列出段落1"/>
    <w:basedOn w:val="1"/>
    <w:qFormat/>
    <w:uiPriority w:val="34"/>
    <w:pPr>
      <w:widowControl/>
      <w:ind w:left="720" w:firstLine="360"/>
      <w:jc w:val="left"/>
    </w:pPr>
    <w:rPr>
      <w:rFonts w:ascii="Calibri" w:hAnsi="Calibri" w:eastAsiaTheme="minorEastAsia" w:cstheme="minorBidi"/>
      <w:kern w:val="2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2022-10-25T07:18:00Z</dcterms:created>
  <dc:creator>Administrator</dc:creator>
  <cp:lastModifiedBy>六一三</cp:lastModifiedBy>
  <dcterms:modified xsi:type="dcterms:W3CDTF">2022-11-09T03:55:27Z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FB5E6CF4CC2842F58629C5710C4194A4</vt:lpwstr>
  </property>
</Properties>
</file>