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cs="黑体"/>
          <w:snapToGrid w:val="0"/>
          <w:sz w:val="24"/>
        </w:rPr>
      </w:pPr>
      <w:r>
        <w:rPr>
          <w:rFonts w:hint="eastAsia" w:ascii="宋体" w:hAnsi="宋体" w:cs="黑体"/>
          <w:snapToGrid w:val="0"/>
          <w:sz w:val="24"/>
        </w:rPr>
        <w:t>公告附件：</w:t>
      </w:r>
    </w:p>
    <w:tbl>
      <w:tblPr>
        <w:tblStyle w:val="12"/>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993"/>
        <w:gridCol w:w="351"/>
        <w:gridCol w:w="74"/>
        <w:gridCol w:w="2126"/>
        <w:gridCol w:w="2251"/>
        <w:gridCol w:w="32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bookmarkStart w:id="2" w:name="_GoBack"/>
            <w:bookmarkStart w:id="0" w:name="_Hlk98601959"/>
            <w:bookmarkStart w:id="1" w:name="_Hlk50096648"/>
            <w:r>
              <w:rPr>
                <w:rFonts w:hint="eastAsia" w:ascii="宋体" w:hAnsi="宋体" w:eastAsia="宋体" w:cs="宋体"/>
                <w:sz w:val="24"/>
                <w:szCs w:val="24"/>
              </w:rPr>
              <w:t>项目编号</w:t>
            </w:r>
          </w:p>
        </w:tc>
        <w:tc>
          <w:tcPr>
            <w:tcW w:w="7737"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2021-JK15-W1491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737" w:type="dxa"/>
            <w:gridSpan w:val="5"/>
            <w:vAlign w:val="center"/>
          </w:tcPr>
          <w:p>
            <w:pPr>
              <w:rPr>
                <w:rFonts w:hint="eastAsia" w:ascii="宋体" w:hAnsi="宋体" w:eastAsia="宋体" w:cs="宋体"/>
                <w:sz w:val="24"/>
                <w:szCs w:val="24"/>
              </w:rPr>
            </w:pPr>
            <w:r>
              <w:rPr>
                <w:rFonts w:hint="eastAsia" w:ascii="宋体" w:hAnsi="宋体" w:eastAsia="宋体" w:cs="宋体"/>
                <w:sz w:val="24"/>
                <w:szCs w:val="24"/>
              </w:rPr>
              <w:t>支气管镜系统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1套</w:t>
            </w:r>
          </w:p>
        </w:tc>
        <w:tc>
          <w:tcPr>
            <w:tcW w:w="5537"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 xml:space="preserve">□国产   </w:t>
            </w:r>
            <w:r>
              <w:rPr>
                <w:rFonts w:hint="eastAsia" w:ascii="宋体" w:hAnsi="宋体" w:eastAsia="宋体" w:cs="宋体"/>
                <w:sz w:val="24"/>
                <w:szCs w:val="24"/>
                <w:lang w:eastAsia="zh-CN"/>
              </w:rPr>
              <w:t>☑</w:t>
            </w:r>
            <w:r>
              <w:rPr>
                <w:rFonts w:hint="eastAsia" w:ascii="宋体" w:hAnsi="宋体" w:eastAsia="宋体" w:cs="宋体"/>
                <w:sz w:val="24"/>
                <w:szCs w:val="24"/>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5"/>
            <w:vAlign w:val="center"/>
          </w:tcPr>
          <w:p>
            <w:pPr>
              <w:jc w:val="left"/>
              <w:rPr>
                <w:rFonts w:hint="eastAsia" w:ascii="宋体" w:hAnsi="宋体" w:eastAsia="宋体" w:cs="宋体"/>
                <w:sz w:val="24"/>
                <w:szCs w:val="24"/>
              </w:rPr>
            </w:pPr>
            <w:r>
              <w:rPr>
                <w:rFonts w:hint="eastAsia" w:ascii="宋体" w:hAnsi="宋体" w:eastAsia="宋体" w:cs="宋体"/>
                <w:sz w:val="24"/>
                <w:szCs w:val="24"/>
              </w:rPr>
              <w:t>130万元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tcPr>
          <w:p>
            <w:pPr>
              <w:jc w:val="center"/>
              <w:rPr>
                <w:rFonts w:hint="eastAsia" w:ascii="宋体" w:hAnsi="宋体" w:eastAsia="宋体" w:cs="宋体"/>
                <w:sz w:val="24"/>
                <w:szCs w:val="24"/>
              </w:rPr>
            </w:pPr>
            <w:r>
              <w:rPr>
                <w:rFonts w:hint="eastAsia" w:ascii="宋体" w:hAnsi="宋体" w:eastAsia="宋体" w:cs="宋体"/>
                <w:b/>
                <w:sz w:val="24"/>
                <w:szCs w:val="24"/>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7" w:type="dxa"/>
            <w:gridSpan w:val="8"/>
          </w:tcPr>
          <w:p>
            <w:pPr>
              <w:rPr>
                <w:rFonts w:hint="eastAsia" w:ascii="宋体" w:hAnsi="宋体" w:eastAsia="宋体" w:cs="宋体"/>
                <w:sz w:val="24"/>
                <w:szCs w:val="24"/>
              </w:rPr>
            </w:pPr>
            <w:r>
              <w:rPr>
                <w:rFonts w:hint="eastAsia" w:ascii="宋体" w:hAnsi="宋体" w:eastAsia="宋体" w:cs="宋体"/>
                <w:sz w:val="24"/>
                <w:szCs w:val="24"/>
              </w:rPr>
              <w:t>临床应用于: 1.中央型肺癌的诊断;2.周围型肺癌的诊断;3.气道内结核病的诊断;4.气道狭窄的诊断;5.咯血的诊断6.经支气管针吸活检术7.气管镜代替胸腔镜诊断胸膜腔疾病8.螺旋CT仿真支气管镜9.肺不张的诊断10.气管镜下药物注射11.冷冻治疗12.徽波治疗13.氩等离子体凝固14.激光固化治疗15.光动力治疗16.胸膜腔疾病的治疗17.气管内支架置入术18.球囊导管技术19.电子支气管镜在肺部感染性疾病中的应用20.电子支气管镜在肺部疾病急救中的应用21.腔内近距离放射治疗22.气道内疾病的综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4802" w:type="dxa"/>
            <w:gridSpan w:val="4"/>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描  述</w:t>
            </w:r>
          </w:p>
        </w:tc>
        <w:tc>
          <w:tcPr>
            <w:tcW w:w="3286" w:type="dxa"/>
            <w:gridSpan w:val="2"/>
            <w:vAlign w:val="center"/>
          </w:tcPr>
          <w:p>
            <w:pPr>
              <w:widowControl/>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802" w:type="dxa"/>
            <w:gridSpan w:val="4"/>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摄像主机系统 </w:t>
            </w:r>
          </w:p>
        </w:tc>
        <w:tc>
          <w:tcPr>
            <w:tcW w:w="3286"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802" w:type="dxa"/>
            <w:gridSpan w:val="4"/>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氙灯冷光源</w:t>
            </w:r>
          </w:p>
        </w:tc>
        <w:tc>
          <w:tcPr>
            <w:tcW w:w="3286" w:type="dxa"/>
            <w:gridSpan w:val="2"/>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sz w:val="24"/>
                <w:szCs w:val="24"/>
              </w:rPr>
            </w:pPr>
            <w:r>
              <w:rPr>
                <w:rFonts w:hint="eastAsia" w:ascii="宋体" w:hAnsi="宋体" w:eastAsia="宋体" w:cs="宋体"/>
                <w:color w:val="000000"/>
                <w:kern w:val="0"/>
                <w:sz w:val="24"/>
                <w:szCs w:val="24"/>
              </w:rPr>
              <w:t>3</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治疗型电子支气管镜</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sz w:val="24"/>
                <w:szCs w:val="24"/>
              </w:rPr>
            </w:pPr>
            <w:r>
              <w:rPr>
                <w:rFonts w:hint="eastAsia" w:ascii="宋体" w:hAnsi="宋体" w:eastAsia="宋体" w:cs="宋体"/>
                <w:color w:val="000000"/>
                <w:kern w:val="0"/>
                <w:sz w:val="24"/>
                <w:szCs w:val="24"/>
              </w:rPr>
              <w:t>4</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进口医用监视器</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jc w:val="center"/>
              <w:rPr>
                <w:rFonts w:hint="eastAsia" w:ascii="宋体" w:hAnsi="宋体" w:eastAsia="宋体" w:cs="宋体"/>
                <w:sz w:val="24"/>
                <w:szCs w:val="24"/>
              </w:rPr>
            </w:pPr>
            <w:r>
              <w:rPr>
                <w:rFonts w:hint="eastAsia" w:ascii="宋体" w:hAnsi="宋体" w:eastAsia="宋体" w:cs="宋体"/>
                <w:color w:val="000000"/>
                <w:kern w:val="0"/>
                <w:sz w:val="24"/>
                <w:szCs w:val="24"/>
              </w:rPr>
              <w:t>5</w:t>
            </w:r>
          </w:p>
        </w:tc>
        <w:tc>
          <w:tcPr>
            <w:tcW w:w="4802" w:type="dxa"/>
            <w:gridSpan w:val="4"/>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原装进口台车</w:t>
            </w:r>
          </w:p>
        </w:tc>
        <w:tc>
          <w:tcPr>
            <w:tcW w:w="3286"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指标名称</w:t>
            </w:r>
          </w:p>
        </w:tc>
        <w:tc>
          <w:tcPr>
            <w:tcW w:w="7654"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18" w:type="dxa"/>
            <w:gridSpan w:val="3"/>
            <w:vMerge w:val="restart"/>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影像处理中心:主机</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kern w:val="0"/>
                <w:sz w:val="24"/>
                <w:szCs w:val="24"/>
              </w:rPr>
              <w:t>＃摄像主机、光源主机分体式独立设计且必须为最高端系统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spacing w:val="-8"/>
                <w:sz w:val="24"/>
                <w:szCs w:val="24"/>
              </w:rPr>
            </w:pPr>
            <w:r>
              <w:rPr>
                <w:rFonts w:hint="eastAsia" w:ascii="宋体" w:hAnsi="宋体" w:eastAsia="宋体" w:cs="宋体"/>
                <w:kern w:val="0"/>
                <w:sz w:val="24"/>
                <w:szCs w:val="24"/>
              </w:rPr>
              <w:t>＃具备数字化信号处理功能及高清（HDTV）图像输出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spacing w:val="-8"/>
                <w:sz w:val="24"/>
                <w:szCs w:val="24"/>
              </w:rPr>
            </w:pPr>
            <w:r>
              <w:rPr>
                <w:rFonts w:hint="eastAsia" w:ascii="宋体" w:hAnsi="宋体" w:eastAsia="宋体" w:cs="宋体"/>
                <w:kern w:val="0"/>
                <w:sz w:val="24"/>
                <w:szCs w:val="24"/>
              </w:rPr>
              <w:t>＃支持窄波成像处理，具备窄波光、荧光观察显示功能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spacing w:val="-8"/>
                <w:sz w:val="24"/>
                <w:szCs w:val="24"/>
              </w:rPr>
            </w:pPr>
            <w:r>
              <w:rPr>
                <w:rFonts w:hint="eastAsia" w:ascii="宋体" w:hAnsi="宋体" w:eastAsia="宋体" w:cs="宋体"/>
                <w:kern w:val="0"/>
                <w:sz w:val="24"/>
                <w:szCs w:val="24"/>
              </w:rPr>
              <w:t>可利用光谱分光技术，实现特殊光观察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色彩强调：基于内镜图像的血红蛋白值来强调色彩的细微差异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＃彩虹现象修正功能：减小由于顺次方式造成的RGB信号之间的时间滞后而造成的色差，确保稳定、无闪烁的图像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kern w:val="0"/>
                <w:sz w:val="24"/>
                <w:szCs w:val="24"/>
              </w:rPr>
              <w:t>图像增益功能：因内镜先端部距离目标太远而使光线不足时，图像信号可以电子放大，自动调整图像亮度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色调调节：“R”调节：± 8档  “B”调节：±8 档  “C”调节：±8 档自动白平衡功能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内镜信息记忆功能：存储在内镜记忆芯片中的如下与内镜相关的数据可将内镜相关的数据调用并显示在屏幕上：内镜型号、本体号、备注、服务协议、保修期、所有者、用户ID号码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快速实时冻结功能：可从按下冻结键之前的图像中挑选色差最小的图像进行显示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三档测光模式选择：平均、峰值、全自动测光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三档构造强调设定：电子强调内镜图像中的轮廓；三档轮廓强调设定：电子强调内镜图像中的轮廓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防电击保护类型：I级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＃兼容性：可连接高清及标清电子胃肠镜、电子十二指肠镜、电子支气管镜、单气囊小肠镜等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bCs/>
                <w:sz w:val="24"/>
                <w:szCs w:val="24"/>
                <w:lang w:eastAsia="zh-Hans"/>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＃摄像系统具备一键式插拔，无需内镜电缆线，洗消时无需防水盖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18" w:type="dxa"/>
            <w:gridSpan w:val="3"/>
            <w:vMerge w:val="restart"/>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氙灯冷光源</w:t>
            </w: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★满足从普通光到特殊光观察，适合广泛诊断及治疗项目开展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检查灯：300W氙气短弧灯（无臭氧）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 xml:space="preserve">灯泡平均寿命： </w:t>
            </w:r>
            <w:r>
              <w:rPr>
                <w:rStyle w:val="26"/>
                <w:rFonts w:hint="eastAsia" w:ascii="宋体" w:hAnsi="宋体" w:eastAsia="宋体" w:cs="宋体"/>
                <w:color w:val="000000"/>
                <w:sz w:val="24"/>
                <w:szCs w:val="24"/>
              </w:rPr>
              <w:t>≥</w:t>
            </w:r>
            <w:r>
              <w:rPr>
                <w:rFonts w:hint="eastAsia" w:ascii="宋体" w:hAnsi="宋体" w:eastAsia="宋体" w:cs="宋体"/>
                <w:kern w:val="0"/>
                <w:sz w:val="24"/>
                <w:szCs w:val="24"/>
              </w:rPr>
              <w:t>500小时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点亮方式：开关调节器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亮度调节：光路光圈控制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冷却：强制空气冷却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颜色转换：使用滤光片可以实现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自动亮度控制：伺服光圈模式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自动曝光：17档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送气：气泵， 横隔膜式气泵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送水：气压式送水或可拆式水瓶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应急灯：12V卤素灯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设定存储：关闭电源后，设定（滤光片设定除外）仍可被保存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pacing w:val="-8"/>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防电击保护类型： 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418" w:type="dxa"/>
            <w:gridSpan w:val="3"/>
            <w:vMerge w:val="restart"/>
            <w:vAlign w:val="center"/>
          </w:tcPr>
          <w:p>
            <w:pPr>
              <w:jc w:val="center"/>
              <w:rPr>
                <w:rFonts w:hint="eastAsia" w:ascii="宋体" w:hAnsi="宋体" w:eastAsia="宋体" w:cs="宋体"/>
                <w:color w:val="FF0000"/>
                <w:sz w:val="24"/>
                <w:szCs w:val="24"/>
              </w:rPr>
            </w:pPr>
            <w:r>
              <w:rPr>
                <w:rFonts w:hint="eastAsia" w:ascii="宋体" w:hAnsi="宋体" w:eastAsia="宋体" w:cs="宋体"/>
                <w:kern w:val="0"/>
                <w:sz w:val="24"/>
                <w:szCs w:val="24"/>
              </w:rPr>
              <w:t>治疗型电子支气管镜</w:t>
            </w: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★内镜具备插入部或连接部可旋转功能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★内镜具备特殊光诊断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视野角：≥120°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视野方向：0°直视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观察深度： 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先端部外径 ≤5.9mm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插入部外径: ≤6.0mm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弯曲部：上：180°下：130°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有效长度: 600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b/>
                <w:kern w:val="2"/>
                <w:sz w:val="24"/>
                <w:szCs w:val="24"/>
                <w:lang w:val="en-US" w:eastAsia="zh-CN" w:bidi="ar-SA"/>
              </w:rPr>
            </w:pPr>
            <w:r>
              <w:rPr>
                <w:rFonts w:hint="eastAsia" w:ascii="宋体" w:hAnsi="宋体" w:eastAsia="宋体" w:cs="宋体"/>
                <w:kern w:val="0"/>
                <w:sz w:val="24"/>
                <w:szCs w:val="24"/>
              </w:rPr>
              <w:t>钳子管道内镜： ≥2.9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1418" w:type="dxa"/>
            <w:gridSpan w:val="3"/>
            <w:vMerge w:val="restart"/>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lang w:val="en-US" w:eastAsia="zh-CN"/>
              </w:rPr>
              <w:t>进口</w:t>
            </w:r>
            <w:r>
              <w:rPr>
                <w:rFonts w:hint="eastAsia" w:ascii="宋体" w:hAnsi="宋体" w:eastAsia="宋体" w:cs="宋体"/>
                <w:kern w:val="0"/>
                <w:sz w:val="24"/>
                <w:szCs w:val="24"/>
              </w:rPr>
              <w:t>医用监视器</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kern w:val="0"/>
                <w:sz w:val="24"/>
                <w:szCs w:val="24"/>
              </w:rPr>
              <w:t>★原装进口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26寸高清晰度液晶面板，tft有效矩阵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逐行扫描，无闪烁；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特制的内镜专用液晶显示器；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信号输入：rgb+ext-sync输入≥1个；合成（bnc接口）输入≥1个；y/c（s端子）输入≥1个；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信号输出：rgb+ext-sync输出≥1个；合成（bnc接口）输出≥1个；y/c（s端子）输出≥1个；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纯平薄流线型设计；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sz w:val="24"/>
                <w:szCs w:val="24"/>
              </w:rPr>
            </w:pPr>
          </w:p>
        </w:tc>
        <w:tc>
          <w:tcPr>
            <w:tcW w:w="1418" w:type="dxa"/>
            <w:gridSpan w:val="3"/>
            <w:vMerge w:val="continue"/>
            <w:vAlign w:val="center"/>
          </w:tcPr>
          <w:p>
            <w:pPr>
              <w:jc w:val="center"/>
              <w:rPr>
                <w:rFonts w:hint="eastAsia" w:ascii="宋体" w:hAnsi="宋体" w:eastAsia="宋体" w:cs="宋体"/>
                <w:sz w:val="24"/>
                <w:szCs w:val="24"/>
              </w:rPr>
            </w:pPr>
          </w:p>
        </w:tc>
        <w:tc>
          <w:tcPr>
            <w:tcW w:w="7654" w:type="dxa"/>
            <w:gridSpan w:val="3"/>
            <w:vAlign w:val="center"/>
          </w:tcPr>
          <w:p>
            <w:pPr>
              <w:rPr>
                <w:rFonts w:hint="eastAsia" w:ascii="宋体" w:hAnsi="宋体" w:eastAsia="宋体" w:cs="宋体"/>
                <w:sz w:val="24"/>
                <w:szCs w:val="24"/>
                <w:lang w:eastAsia="zh-Hans"/>
              </w:rPr>
            </w:pPr>
            <w:r>
              <w:rPr>
                <w:rFonts w:hint="eastAsia" w:ascii="宋体" w:hAnsi="宋体" w:eastAsia="宋体" w:cs="宋体"/>
                <w:kern w:val="0"/>
                <w:sz w:val="24"/>
                <w:szCs w:val="24"/>
              </w:rPr>
              <w:t>防闪涂层减少反光现象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台车</w:t>
            </w:r>
          </w:p>
        </w:tc>
        <w:tc>
          <w:tcPr>
            <w:tcW w:w="7654" w:type="dxa"/>
            <w:gridSpan w:val="3"/>
            <w:vAlign w:val="center"/>
          </w:tcPr>
          <w:p>
            <w:pPr>
              <w:spacing w:line="360" w:lineRule="exact"/>
              <w:rPr>
                <w:rFonts w:hint="eastAsia" w:ascii="宋体" w:hAnsi="宋体" w:eastAsia="宋体" w:cs="宋体"/>
                <w:sz w:val="24"/>
                <w:szCs w:val="24"/>
              </w:rPr>
            </w:pPr>
            <w:r>
              <w:rPr>
                <w:rFonts w:hint="eastAsia" w:ascii="宋体" w:hAnsi="宋体" w:eastAsia="宋体" w:cs="宋体"/>
                <w:kern w:val="0"/>
                <w:sz w:val="24"/>
                <w:szCs w:val="24"/>
              </w:rPr>
              <w:t>★原装进口钢材能够搭载内镜摄像平台，并能以后搭载GS内镜平台。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widowControl/>
              <w:jc w:val="center"/>
              <w:rPr>
                <w:rFonts w:hint="eastAsia"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整机质保3年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备件库</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西安有备件库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维修站</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西安有维修站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收费标准</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质保期外配件及维修由原厂进行修理维护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培训支持</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新品装机后当天由厂家工程师进行新品使用，维护等培训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维修响应</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维修响应时间:西安市内2小时内现场应答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418"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到货时间</w:t>
            </w:r>
          </w:p>
        </w:tc>
        <w:tc>
          <w:tcPr>
            <w:tcW w:w="7654" w:type="dxa"/>
            <w:gridSpan w:val="3"/>
            <w:vAlign w:val="center"/>
          </w:tcPr>
          <w:p>
            <w:pPr>
              <w:rPr>
                <w:rFonts w:hint="eastAsia" w:ascii="宋体" w:hAnsi="宋体" w:eastAsia="宋体" w:cs="宋体"/>
                <w:sz w:val="24"/>
                <w:szCs w:val="24"/>
              </w:rPr>
            </w:pPr>
            <w:r>
              <w:rPr>
                <w:rFonts w:hint="eastAsia" w:ascii="宋体" w:hAnsi="宋体" w:eastAsia="宋体" w:cs="宋体"/>
                <w:sz w:val="24"/>
                <w:szCs w:val="24"/>
              </w:rPr>
              <w:t>合同签订后60个自然日内到货</w:t>
            </w:r>
          </w:p>
        </w:tc>
      </w:tr>
      <w:bookmarkEnd w:id="2"/>
      <w:bookmarkEnd w:id="0"/>
    </w:tbl>
    <w:p>
      <w:pPr>
        <w:widowControl/>
        <w:jc w:val="left"/>
        <w:rPr>
          <w:rFonts w:ascii="宋体" w:hAnsi="宋体"/>
          <w:sz w:val="24"/>
        </w:rPr>
      </w:pPr>
      <w:r>
        <w:rPr>
          <w:rFonts w:hint="eastAsia" w:ascii="宋体" w:hAnsi="宋体"/>
          <w:sz w:val="24"/>
        </w:rPr>
        <w:t>说明：功能要求、配置清单为必备要求，从功能角度提出；技术参数体现设备档次要求，参数中区分“★”、“＃”参数，其中“★”参数为核心参数，为必须满足参数；“＃”参数为重要参数，在采购评审中分值较高。一般技术指标参数不作标记。</w:t>
      </w:r>
    </w:p>
    <w:bookmarkEnd w:id="1"/>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Wingdings 2">
    <w:altName w:val="Wingdings"/>
    <w:panose1 w:val="00000000000000000000"/>
    <w:charset w:val="02"/>
    <w:family w:val="decorative"/>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lMmI2OWI5YmVlYjQ2N2NmMWJmYzcxODdjZTNlYTMifQ=="/>
  </w:docVars>
  <w:rsids>
    <w:rsidRoot w:val="19A15E62"/>
    <w:rsid w:val="00046163"/>
    <w:rsid w:val="000545FE"/>
    <w:rsid w:val="00062C9C"/>
    <w:rsid w:val="00094C83"/>
    <w:rsid w:val="000A384B"/>
    <w:rsid w:val="000C3A2F"/>
    <w:rsid w:val="000C6484"/>
    <w:rsid w:val="000E5CA4"/>
    <w:rsid w:val="001042B8"/>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96357"/>
    <w:rsid w:val="002B40AE"/>
    <w:rsid w:val="002C21FA"/>
    <w:rsid w:val="002C4BC4"/>
    <w:rsid w:val="003151D7"/>
    <w:rsid w:val="003250CD"/>
    <w:rsid w:val="00344E7A"/>
    <w:rsid w:val="003526D5"/>
    <w:rsid w:val="00361D23"/>
    <w:rsid w:val="003A3ABE"/>
    <w:rsid w:val="003A77C9"/>
    <w:rsid w:val="003C04BD"/>
    <w:rsid w:val="003C0D17"/>
    <w:rsid w:val="003C1FAC"/>
    <w:rsid w:val="00415F46"/>
    <w:rsid w:val="00434A75"/>
    <w:rsid w:val="004432F1"/>
    <w:rsid w:val="00465054"/>
    <w:rsid w:val="00472BFD"/>
    <w:rsid w:val="00480E1E"/>
    <w:rsid w:val="00486784"/>
    <w:rsid w:val="004A675A"/>
    <w:rsid w:val="004B3E73"/>
    <w:rsid w:val="004B5D66"/>
    <w:rsid w:val="004C37F8"/>
    <w:rsid w:val="004D21DD"/>
    <w:rsid w:val="004E7B7D"/>
    <w:rsid w:val="00502B07"/>
    <w:rsid w:val="0050461A"/>
    <w:rsid w:val="00532C52"/>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500D7"/>
    <w:rsid w:val="00776C3E"/>
    <w:rsid w:val="00790D63"/>
    <w:rsid w:val="007975BA"/>
    <w:rsid w:val="007C061A"/>
    <w:rsid w:val="007D147D"/>
    <w:rsid w:val="007D37E2"/>
    <w:rsid w:val="007D6AA8"/>
    <w:rsid w:val="007E2DAD"/>
    <w:rsid w:val="007F4F99"/>
    <w:rsid w:val="008025C6"/>
    <w:rsid w:val="00815EDB"/>
    <w:rsid w:val="00826E11"/>
    <w:rsid w:val="0082728A"/>
    <w:rsid w:val="0083233E"/>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506CE"/>
    <w:rsid w:val="009B4794"/>
    <w:rsid w:val="009C5AD1"/>
    <w:rsid w:val="009D4E32"/>
    <w:rsid w:val="009E3452"/>
    <w:rsid w:val="00A011B6"/>
    <w:rsid w:val="00A02CAD"/>
    <w:rsid w:val="00A17223"/>
    <w:rsid w:val="00A25852"/>
    <w:rsid w:val="00A33D6F"/>
    <w:rsid w:val="00A4142E"/>
    <w:rsid w:val="00A579E1"/>
    <w:rsid w:val="00A64A4D"/>
    <w:rsid w:val="00A76416"/>
    <w:rsid w:val="00A95588"/>
    <w:rsid w:val="00A97192"/>
    <w:rsid w:val="00AA6CA3"/>
    <w:rsid w:val="00AC023F"/>
    <w:rsid w:val="00AC2FEC"/>
    <w:rsid w:val="00AC3F59"/>
    <w:rsid w:val="00AD70DA"/>
    <w:rsid w:val="00AD75E3"/>
    <w:rsid w:val="00B05F70"/>
    <w:rsid w:val="00B22D2F"/>
    <w:rsid w:val="00B46DCB"/>
    <w:rsid w:val="00B4737F"/>
    <w:rsid w:val="00B52870"/>
    <w:rsid w:val="00B57386"/>
    <w:rsid w:val="00B7345A"/>
    <w:rsid w:val="00B853D8"/>
    <w:rsid w:val="00B8795D"/>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4E39"/>
    <w:rsid w:val="00D3534D"/>
    <w:rsid w:val="00D509BA"/>
    <w:rsid w:val="00D6649E"/>
    <w:rsid w:val="00D769DA"/>
    <w:rsid w:val="00D844E9"/>
    <w:rsid w:val="00DA3A8B"/>
    <w:rsid w:val="00DC5219"/>
    <w:rsid w:val="00E06986"/>
    <w:rsid w:val="00E07EED"/>
    <w:rsid w:val="00E1044C"/>
    <w:rsid w:val="00E33608"/>
    <w:rsid w:val="00E458BB"/>
    <w:rsid w:val="00E46234"/>
    <w:rsid w:val="00E466E8"/>
    <w:rsid w:val="00E80934"/>
    <w:rsid w:val="00E8381C"/>
    <w:rsid w:val="00EB61E8"/>
    <w:rsid w:val="00EE242E"/>
    <w:rsid w:val="00EE2CE1"/>
    <w:rsid w:val="00EE384E"/>
    <w:rsid w:val="00EF45B8"/>
    <w:rsid w:val="00F1160B"/>
    <w:rsid w:val="00F27A73"/>
    <w:rsid w:val="00F35A7B"/>
    <w:rsid w:val="00F705B7"/>
    <w:rsid w:val="00F81502"/>
    <w:rsid w:val="00F870C6"/>
    <w:rsid w:val="00FA1361"/>
    <w:rsid w:val="00FA17E7"/>
    <w:rsid w:val="00FA1DCC"/>
    <w:rsid w:val="00FA7DD0"/>
    <w:rsid w:val="00FD101E"/>
    <w:rsid w:val="00FD63B8"/>
    <w:rsid w:val="19A15E62"/>
    <w:rsid w:val="5499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paragraph" w:styleId="2">
    <w:name w:val="heading 3"/>
    <w:basedOn w:val="1"/>
    <w:next w:val="3"/>
    <w:link w:val="33"/>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0"/>
    <w:pPr>
      <w:ind w:firstLine="420" w:firstLineChars="200"/>
    </w:pPr>
  </w:style>
  <w:style w:type="paragraph" w:styleId="4">
    <w:name w:val="Document Map"/>
    <w:basedOn w:val="1"/>
    <w:link w:val="25"/>
    <w:uiPriority w:val="0"/>
    <w:rPr>
      <w:rFonts w:ascii="宋体"/>
      <w:sz w:val="18"/>
      <w:szCs w:val="18"/>
    </w:rPr>
  </w:style>
  <w:style w:type="paragraph" w:styleId="5">
    <w:name w:val="annotation text"/>
    <w:basedOn w:val="1"/>
    <w:link w:val="17"/>
    <w:uiPriority w:val="0"/>
    <w:pPr>
      <w:jc w:val="left"/>
    </w:pPr>
  </w:style>
  <w:style w:type="paragraph" w:styleId="6">
    <w:name w:val="Plain Text"/>
    <w:basedOn w:val="1"/>
    <w:link w:val="21"/>
    <w:unhideWhenUsed/>
    <w:qFormat/>
    <w:uiPriority w:val="0"/>
    <w:rPr>
      <w:rFonts w:ascii="宋体" w:hAnsi="Courier New" w:eastAsiaTheme="minorEastAsia" w:cstheme="minorBidi"/>
      <w:szCs w:val="20"/>
    </w:rPr>
  </w:style>
  <w:style w:type="paragraph" w:styleId="7">
    <w:name w:val="Balloon Text"/>
    <w:basedOn w:val="1"/>
    <w:link w:val="20"/>
    <w:qFormat/>
    <w:uiPriority w:val="0"/>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1">
    <w:name w:val="annotation subject"/>
    <w:basedOn w:val="5"/>
    <w:next w:val="5"/>
    <w:link w:val="18"/>
    <w:uiPriority w:val="0"/>
    <w:rPr>
      <w:b/>
      <w:bCs/>
    </w:rPr>
  </w:style>
  <w:style w:type="character" w:styleId="14">
    <w:name w:val="annotation reference"/>
    <w:basedOn w:val="13"/>
    <w:qFormat/>
    <w:uiPriority w:val="0"/>
    <w:rPr>
      <w:sz w:val="21"/>
      <w:szCs w:val="21"/>
    </w:rPr>
  </w:style>
  <w:style w:type="character" w:customStyle="1" w:styleId="15">
    <w:name w:val="页眉 字符"/>
    <w:basedOn w:val="13"/>
    <w:link w:val="9"/>
    <w:uiPriority w:val="0"/>
    <w:rPr>
      <w:rFonts w:ascii="Times New Roman" w:hAnsi="Times New Roman" w:eastAsia="宋体" w:cs="宋体"/>
      <w:kern w:val="2"/>
      <w:sz w:val="18"/>
      <w:szCs w:val="18"/>
    </w:rPr>
  </w:style>
  <w:style w:type="character" w:customStyle="1" w:styleId="16">
    <w:name w:val="页脚 字符"/>
    <w:basedOn w:val="13"/>
    <w:link w:val="8"/>
    <w:qFormat/>
    <w:uiPriority w:val="0"/>
    <w:rPr>
      <w:rFonts w:ascii="Times New Roman" w:hAnsi="Times New Roman" w:eastAsia="宋体" w:cs="宋体"/>
      <w:kern w:val="2"/>
      <w:sz w:val="18"/>
      <w:szCs w:val="18"/>
    </w:rPr>
  </w:style>
  <w:style w:type="character" w:customStyle="1" w:styleId="17">
    <w:name w:val="批注文字 字符"/>
    <w:basedOn w:val="13"/>
    <w:link w:val="5"/>
    <w:uiPriority w:val="0"/>
    <w:rPr>
      <w:rFonts w:ascii="Times New Roman" w:hAnsi="Times New Roman" w:eastAsia="宋体" w:cs="宋体"/>
      <w:kern w:val="2"/>
      <w:sz w:val="21"/>
      <w:szCs w:val="24"/>
    </w:rPr>
  </w:style>
  <w:style w:type="character" w:customStyle="1" w:styleId="18">
    <w:name w:val="批注主题 字符"/>
    <w:basedOn w:val="17"/>
    <w:link w:val="11"/>
    <w:uiPriority w:val="0"/>
    <w:rPr>
      <w:rFonts w:ascii="Times New Roman" w:hAnsi="Times New Roman" w:eastAsia="宋体" w:cs="宋体"/>
      <w:b/>
      <w:bCs/>
      <w:kern w:val="2"/>
      <w:sz w:val="21"/>
      <w:szCs w:val="24"/>
    </w:rPr>
  </w:style>
  <w:style w:type="paragraph" w:customStyle="1" w:styleId="19">
    <w:name w:val="Revision"/>
    <w:hidden/>
    <w:semiHidden/>
    <w:qFormat/>
    <w:uiPriority w:val="99"/>
    <w:rPr>
      <w:rFonts w:ascii="Times New Roman" w:hAnsi="Times New Roman" w:eastAsia="宋体" w:cs="宋体"/>
      <w:kern w:val="2"/>
      <w:sz w:val="21"/>
      <w:szCs w:val="24"/>
      <w:lang w:val="en-US" w:eastAsia="zh-CN" w:bidi="ar-SA"/>
    </w:rPr>
  </w:style>
  <w:style w:type="character" w:customStyle="1" w:styleId="20">
    <w:name w:val="批注框文本 字符"/>
    <w:basedOn w:val="13"/>
    <w:link w:val="7"/>
    <w:qFormat/>
    <w:uiPriority w:val="0"/>
    <w:rPr>
      <w:rFonts w:ascii="Times New Roman" w:hAnsi="Times New Roman" w:eastAsia="宋体" w:cs="宋体"/>
      <w:kern w:val="2"/>
      <w:sz w:val="18"/>
      <w:szCs w:val="18"/>
    </w:rPr>
  </w:style>
  <w:style w:type="character" w:customStyle="1" w:styleId="21">
    <w:name w:val="纯文本 字符1"/>
    <w:link w:val="6"/>
    <w:uiPriority w:val="0"/>
    <w:rPr>
      <w:rFonts w:ascii="宋体" w:hAnsi="Courier New"/>
      <w:kern w:val="2"/>
      <w:sz w:val="21"/>
    </w:rPr>
  </w:style>
  <w:style w:type="character" w:customStyle="1" w:styleId="22">
    <w:name w:val="纯文本 字符"/>
    <w:basedOn w:val="13"/>
    <w:qFormat/>
    <w:uiPriority w:val="0"/>
    <w:rPr>
      <w:rFonts w:hAnsi="Courier New" w:cs="Courier New" w:asciiTheme="minorEastAsia"/>
      <w:kern w:val="2"/>
      <w:sz w:val="21"/>
      <w:szCs w:val="24"/>
    </w:rPr>
  </w:style>
  <w:style w:type="paragraph" w:customStyle="1" w:styleId="23">
    <w:name w:val="中等深浅网格 1 - 强调文字颜色 21"/>
    <w:basedOn w:val="1"/>
    <w:qFormat/>
    <w:uiPriority w:val="34"/>
    <w:pPr>
      <w:ind w:firstLine="420" w:firstLineChars="200"/>
    </w:pPr>
    <w:rPr>
      <w:rFonts w:ascii="Calibri" w:hAnsi="Calibri" w:cs="Times New Roman"/>
      <w:szCs w:val="22"/>
    </w:rPr>
  </w:style>
  <w:style w:type="paragraph" w:styleId="24">
    <w:name w:val="List Paragraph"/>
    <w:basedOn w:val="1"/>
    <w:qFormat/>
    <w:uiPriority w:val="34"/>
    <w:pPr>
      <w:ind w:firstLine="420" w:firstLineChars="200"/>
    </w:pPr>
    <w:rPr>
      <w:rFonts w:ascii="Calibri" w:hAnsi="Calibri" w:cs="Times New Roman"/>
      <w:szCs w:val="22"/>
    </w:rPr>
  </w:style>
  <w:style w:type="character" w:customStyle="1" w:styleId="25">
    <w:name w:val="文档结构图 字符"/>
    <w:basedOn w:val="13"/>
    <w:link w:val="4"/>
    <w:qFormat/>
    <w:uiPriority w:val="0"/>
    <w:rPr>
      <w:rFonts w:ascii="宋体" w:hAnsi="Times New Roman" w:eastAsia="宋体" w:cs="宋体"/>
      <w:kern w:val="2"/>
      <w:sz w:val="18"/>
      <w:szCs w:val="18"/>
    </w:rPr>
  </w:style>
  <w:style w:type="character" w:customStyle="1" w:styleId="26">
    <w:name w:val="NormalCharacter"/>
    <w:semiHidden/>
    <w:qFormat/>
    <w:uiPriority w:val="0"/>
  </w:style>
  <w:style w:type="paragraph" w:customStyle="1" w:styleId="27">
    <w:name w:val="正文 A"/>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_Style 26"/>
    <w:basedOn w:val="1"/>
    <w:next w:val="24"/>
    <w:qFormat/>
    <w:uiPriority w:val="34"/>
    <w:pPr>
      <w:ind w:firstLine="420" w:firstLineChars="200"/>
    </w:pPr>
    <w:rPr>
      <w:rFonts w:cs="Times New Roman"/>
    </w:rPr>
  </w:style>
  <w:style w:type="character" w:customStyle="1" w:styleId="30">
    <w:name w:val="font31"/>
    <w:uiPriority w:val="0"/>
    <w:rPr>
      <w:rFonts w:hint="eastAsia" w:ascii="宋体" w:hAnsi="宋体" w:eastAsia="宋体" w:cs="宋体"/>
      <w:color w:val="000000"/>
      <w:sz w:val="24"/>
      <w:szCs w:val="24"/>
      <w:u w:val="none"/>
    </w:rPr>
  </w:style>
  <w:style w:type="character" w:customStyle="1" w:styleId="31">
    <w:name w:val="font11"/>
    <w:uiPriority w:val="0"/>
    <w:rPr>
      <w:rFonts w:hint="default" w:ascii="Times New Roman" w:hAnsi="Times New Roman" w:cs="Times New Roman"/>
      <w:color w:val="000000"/>
      <w:sz w:val="24"/>
      <w:szCs w:val="24"/>
      <w:u w:val="none"/>
    </w:rPr>
  </w:style>
  <w:style w:type="character" w:customStyle="1" w:styleId="32">
    <w:name w:val="标题 3 字符"/>
    <w:basedOn w:val="13"/>
    <w:semiHidden/>
    <w:uiPriority w:val="0"/>
    <w:rPr>
      <w:rFonts w:ascii="Times New Roman" w:hAnsi="Times New Roman" w:eastAsia="宋体" w:cs="宋体"/>
      <w:b/>
      <w:bCs/>
      <w:kern w:val="2"/>
      <w:sz w:val="32"/>
      <w:szCs w:val="32"/>
    </w:rPr>
  </w:style>
  <w:style w:type="character" w:customStyle="1" w:styleId="33">
    <w:name w:val="标题 3 字符1"/>
    <w:link w:val="2"/>
    <w:uiPriority w:val="0"/>
    <w:rPr>
      <w:rFonts w:ascii="Calibri" w:hAnsi="Calibri" w:eastAsia="宋体" w:cs="Times New Roman"/>
      <w:b/>
      <w:bCs/>
      <w:kern w:val="2"/>
      <w:sz w:val="28"/>
      <w:szCs w:val="32"/>
    </w:rPr>
  </w:style>
  <w:style w:type="paragraph" w:customStyle="1" w:styleId="34">
    <w:name w:val="列出段落1"/>
    <w:basedOn w:val="1"/>
    <w:qFormat/>
    <w:uiPriority w:val="34"/>
    <w:pPr>
      <w:ind w:firstLine="420" w:firstLineChars="200"/>
    </w:pPr>
    <w:rPr>
      <w:rFonts w:ascii="Calibri" w:hAnsi="Calibri" w:cs="Times New Roman"/>
    </w:rPr>
  </w:style>
  <w:style w:type="character" w:customStyle="1" w:styleId="35">
    <w:name w:val="font61"/>
    <w:basedOn w:val="13"/>
    <w:uiPriority w:val="0"/>
    <w:rPr>
      <w:rFonts w:hint="default" w:ascii="幼圆" w:hAnsi="幼圆" w:eastAsia="幼圆" w:cs="幼圆"/>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3</Pages>
  <Words>1575</Words>
  <Characters>1706</Characters>
  <Lines>14</Lines>
  <Paragraphs>4</Paragraphs>
  <TotalTime>1</TotalTime>
  <ScaleCrop>false</ScaleCrop>
  <LinksUpToDate>false</LinksUpToDate>
  <CharactersWithSpaces>1730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2023-01-16T10:06:15Z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A9967F2B76474F9BBA20C4E9C2D027BA</vt:lpwstr>
  </property>
</Properties>
</file>