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p>
    <w:tbl>
      <w:tblPr>
        <w:tblStyle w:val="14"/>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16"/>
        <w:gridCol w:w="566"/>
        <w:gridCol w:w="1985"/>
        <w:gridCol w:w="3408"/>
        <w:gridCol w:w="212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35" w:type="dxa"/>
            <w:gridSpan w:val="3"/>
            <w:vAlign w:val="center"/>
          </w:tcPr>
          <w:p>
            <w:pPr>
              <w:jc w:val="center"/>
              <w:rPr>
                <w:rFonts w:hint="eastAsia" w:ascii="宋体" w:hAnsi="宋体" w:eastAsia="宋体" w:cs="宋体"/>
                <w:sz w:val="24"/>
                <w:szCs w:val="24"/>
              </w:rPr>
            </w:pPr>
            <w:bookmarkStart w:id="0" w:name="_Hlk98601959"/>
            <w:bookmarkStart w:id="1" w:name="_Hlk50096648"/>
            <w:r>
              <w:rPr>
                <w:rFonts w:hint="eastAsia" w:ascii="宋体" w:hAnsi="宋体" w:eastAsia="宋体" w:cs="宋体"/>
                <w:sz w:val="24"/>
                <w:szCs w:val="24"/>
              </w:rPr>
              <w:t>项目编号</w:t>
            </w:r>
          </w:p>
        </w:tc>
        <w:tc>
          <w:tcPr>
            <w:tcW w:w="7522" w:type="dxa"/>
            <w:gridSpan w:val="4"/>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2022-JK15-W144</w:t>
            </w: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3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522"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全套超声（心动+腹部/急诊）模拟器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3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98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1套</w:t>
            </w:r>
          </w:p>
        </w:tc>
        <w:tc>
          <w:tcPr>
            <w:tcW w:w="553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国产   </w:t>
            </w:r>
            <w:r>
              <w:rPr>
                <w:rFonts w:hint="eastAsia" w:ascii="宋体" w:hAnsi="宋体" w:eastAsia="宋体" w:cs="宋体"/>
                <w:sz w:val="24"/>
                <w:szCs w:val="24"/>
                <w:lang w:eastAsia="zh-CN"/>
              </w:rPr>
              <w:t>☑</w:t>
            </w:r>
            <w:r>
              <w:rPr>
                <w:rFonts w:hint="eastAsia" w:ascii="宋体" w:hAnsi="宋体" w:eastAsia="宋体" w:cs="宋体"/>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3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522" w:type="dxa"/>
            <w:gridSpan w:val="4"/>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260</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7"/>
          </w:tcPr>
          <w:p>
            <w:pPr>
              <w:jc w:val="center"/>
              <w:rPr>
                <w:rFonts w:hint="eastAsia" w:ascii="宋体" w:hAnsi="宋体" w:eastAsia="宋体" w:cs="宋体"/>
                <w:sz w:val="24"/>
                <w:szCs w:val="24"/>
              </w:rPr>
            </w:pPr>
            <w:r>
              <w:rPr>
                <w:rFonts w:hint="eastAsia" w:ascii="宋体" w:hAnsi="宋体" w:eastAsia="宋体" w:cs="宋体"/>
                <w:b/>
                <w:sz w:val="24"/>
                <w:szCs w:val="24"/>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7"/>
          </w:tcPr>
          <w:p>
            <w:pPr>
              <w:rPr>
                <w:rFonts w:hint="eastAsia" w:ascii="宋体" w:hAnsi="宋体" w:eastAsia="宋体" w:cs="宋体"/>
                <w:sz w:val="24"/>
                <w:szCs w:val="24"/>
              </w:rPr>
            </w:pPr>
            <w:r>
              <w:rPr>
                <w:rFonts w:hint="eastAsia" w:ascii="宋体" w:hAnsi="宋体" w:eastAsia="宋体" w:cs="宋体"/>
                <w:sz w:val="24"/>
                <w:szCs w:val="24"/>
              </w:rPr>
              <w:t>可用于心脏超声（含经食道超声）及胸、腹部超声评估训练。超声检查模拟训练系统是一套专门针对临床超声检查培训而设计的综合性解决方案，适用于影像科、麻醉科、心血管外科等多科室临床培训。通过该系统，学员不仅可学习超声检查的基本操作技巧，还可学习床旁超声心动描记术、高级心脏超声检查、经食道超声检查、eFAST、腹部超声检查、胸部超声检查等。操作过程中，系统可记录抓拍学员的操作；操作完成后，系统随即自动生成详尽评估报告，针对学员的操作过程给予评估。系统内置经美国心脏超声协会ASE认证的教学课程，可使训练内容与国际化接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7"/>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5959" w:type="dxa"/>
            <w:gridSpan w:val="3"/>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描  述</w:t>
            </w:r>
          </w:p>
        </w:tc>
        <w:tc>
          <w:tcPr>
            <w:tcW w:w="2129"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959" w:type="dxa"/>
            <w:gridSpan w:val="3"/>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综合超声高仿真模拟人</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5959" w:type="dxa"/>
            <w:gridSpan w:val="3"/>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PoCUS模拟训练系统</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5959" w:type="dxa"/>
            <w:gridSpan w:val="3"/>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超声心动图模拟训练系统</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5959" w:type="dxa"/>
            <w:gridSpan w:val="3"/>
            <w:vAlign w:val="center"/>
          </w:tcPr>
          <w:p>
            <w:pPr>
              <w:widowControl/>
              <w:jc w:val="center"/>
              <w:rPr>
                <w:rFonts w:hint="eastAsia" w:ascii="宋体" w:hAnsi="宋体" w:eastAsia="宋体" w:cs="宋体"/>
                <w:color w:val="000000"/>
                <w:kern w:val="0"/>
                <w:sz w:val="24"/>
                <w:szCs w:val="24"/>
              </w:rPr>
            </w:pPr>
            <w:bookmarkStart w:id="2" w:name="_GoBack"/>
            <w:bookmarkEnd w:id="2"/>
            <w:r>
              <w:rPr>
                <w:rFonts w:hint="eastAsia" w:ascii="宋体" w:hAnsi="宋体" w:eastAsia="宋体" w:cs="宋体"/>
                <w:sz w:val="24"/>
                <w:szCs w:val="24"/>
              </w:rPr>
              <w:t>腹部超声检查模拟探头</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5</w:t>
            </w:r>
          </w:p>
        </w:tc>
        <w:tc>
          <w:tcPr>
            <w:tcW w:w="5959" w:type="dxa"/>
            <w:gridSpan w:val="3"/>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经食道模拟超声探头</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5959" w:type="dxa"/>
            <w:gridSpan w:val="3"/>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经胸检查模拟超声探头</w:t>
            </w:r>
          </w:p>
        </w:tc>
        <w:tc>
          <w:tcPr>
            <w:tcW w:w="212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sz w:val="24"/>
                <w:szCs w:val="24"/>
                <w:lang w:eastAsia="zh-CN"/>
              </w:rPr>
            </w:pPr>
            <w:r>
              <w:rPr>
                <w:rFonts w:hint="eastAsia" w:ascii="宋体" w:hAnsi="宋体" w:eastAsia="宋体" w:cs="宋体"/>
                <w:color w:val="000000"/>
                <w:kern w:val="0"/>
                <w:sz w:val="24"/>
                <w:szCs w:val="24"/>
                <w:lang w:val="en-US" w:eastAsia="zh-CN"/>
              </w:rPr>
              <w:t>7</w:t>
            </w:r>
          </w:p>
        </w:tc>
        <w:tc>
          <w:tcPr>
            <w:tcW w:w="5959" w:type="dxa"/>
            <w:gridSpan w:val="3"/>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综合超声工作站</w:t>
            </w:r>
          </w:p>
        </w:tc>
        <w:tc>
          <w:tcPr>
            <w:tcW w:w="212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5959" w:type="dxa"/>
            <w:gridSpan w:val="3"/>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导师控制平板电脑</w:t>
            </w:r>
          </w:p>
        </w:tc>
        <w:tc>
          <w:tcPr>
            <w:tcW w:w="212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c>
          <w:tcPr>
            <w:tcW w:w="5959" w:type="dxa"/>
            <w:gridSpan w:val="3"/>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教学课程（经美国心脏超声协会ASE认证）</w:t>
            </w:r>
          </w:p>
        </w:tc>
        <w:tc>
          <w:tcPr>
            <w:tcW w:w="212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6"/>
            <w:vAlign w:val="center"/>
          </w:tcPr>
          <w:p>
            <w:pPr>
              <w:jc w:val="center"/>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8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51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（一）</w:t>
            </w:r>
          </w:p>
        </w:tc>
        <w:tc>
          <w:tcPr>
            <w:tcW w:w="1482" w:type="dxa"/>
            <w:gridSpan w:val="2"/>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硬件功能</w:t>
            </w:r>
          </w:p>
        </w:tc>
        <w:tc>
          <w:tcPr>
            <w:tcW w:w="7513" w:type="dxa"/>
            <w:gridSpan w:val="3"/>
            <w:vAlign w:val="center"/>
          </w:tcPr>
          <w:p>
            <w:pPr>
              <w:jc w:val="lef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模拟人动态感应</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综合超声高仿真模拟人动态感应，要求实时感应模拟超声探头的位置、角度、压力，所成影像与教学动作实时匹配。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模拟人解剖结构</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模拟人有明显的可触诊的解剖结构与触感，至少包含肋骨、胸骨柄、锁骨、乳头、剑突、髂骨、盆腔，便于进行超声视窗定位。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模拟人体位变换</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模拟人躯干一体化设计，可摆不同检查体位，背部可进行超声检查，侧卧角度不小于40°，侧卧与平卧之间转换无需拆卸硬件，经腹、经胸、经食道的超声训练，无需拔插超声硬件或重启系统。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模拟探头</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模拟探头要求与临床真实超声探头一致，TEE探头要求手柄具有大盘、小盘、晶体旋转扭以及固定锁头，可实时响应并定位探头的动作、角度、压力等各种姿态。探头可以前进、收缩、反曲、弯曲及镜头的0-180度转动扫描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超声探头使用灵活</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心脏超声训练工作站可以单独使用，可不与模型人连接，通过鼠标键盘进行模拟超声探头训练，方便携带至各种场所教学。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导师实时修改病例</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具有导师控制平板电脑，教师可实时进行病例编辑，模拟临床突发场景，使得考核更具挑战性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（二）</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软件功能</w:t>
            </w:r>
          </w:p>
        </w:tc>
        <w:tc>
          <w:tcPr>
            <w:tcW w:w="7513" w:type="dxa"/>
            <w:gridSpan w:val="3"/>
            <w:vAlign w:val="center"/>
          </w:tcPr>
          <w:p>
            <w:pPr>
              <w:jc w:val="lef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教学管理界面</w:t>
            </w:r>
          </w:p>
        </w:tc>
        <w:tc>
          <w:tcPr>
            <w:tcW w:w="7513" w:type="dxa"/>
            <w:gridSpan w:val="3"/>
            <w:vAlign w:val="center"/>
          </w:tcPr>
          <w:p>
            <w:pPr>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账户管理</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具有账户管理功能，导师可自由编辑学员账户，根据教学需求、学员年资进行学员分组。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信息统计</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信息统计功能，轻松实现学员训练考核信息汇总，可进行不同学员间学习训练考核完成情况对比。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1.3</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客观化评估</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客观化评估功能，学员操作完成后，系统会显示对应的评估报告，同时显示学习曲线。导师可轻松评估并且跟踪各学习小组（或学员）的训练表现。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★教学模块</w:t>
            </w:r>
          </w:p>
        </w:tc>
        <w:tc>
          <w:tcPr>
            <w:tcW w:w="7513" w:type="dxa"/>
            <w:gridSpan w:val="3"/>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系统要求包含经食道与经胸的超声心动图教学模块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0"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★心脏超声工作站</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心脏超声工作站可将超声心动图的切面与人体心脏解剖3D图像动态结合，有利于教学实践中，医生对切面图像和解剖的理解。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各项参数设置</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系统可自由设置心脏观测角度及各种剖面结构；可调整心动频率，慢速、定格及回放演示。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软件直接模拟</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系统可不连接模拟人硬件，仅通过键盘和鼠标对心脏模型进行模拟的操作，对心脏内、外部的各个角度及层面进行自由缩放，方便携带至各种场所授课。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2.1.3</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心脏结构演示</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系统提供对应心脏解剖结构的构造、位置、操作说明的详细文字解释及动态操作演示。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2.1.4</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虚拟TEE探头行进路线</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屏幕上的虚拟TEE探头与模拟超声探头同步,可使得用户可以清晰的看到探头在食道中的深度及超声影像可以覆盖的层面；可以观察到探头经过横膈肌后贴进胃底前进，而非探头从进入食道后一直笔直前进。更加符合生理解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2.1.5</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虚拟TTE探头观察区域</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屏幕上的虚拟TTE探头与模拟超声探头同步,可使得用户可以清晰的看到探头在胸部的位置及超声影像可以覆盖的层面；可以观察到探头经过肋骨及肋间隙是图像的实时改变，而非所有区域都可以探查到清晰心脏图像。更加符合生理解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2.1.6</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胃底位置的TEE超声</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可实现胃底位置的TEE超声。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标准心脏切面</w:t>
            </w:r>
          </w:p>
        </w:tc>
        <w:tc>
          <w:tcPr>
            <w:tcW w:w="7513" w:type="dxa"/>
            <w:gridSpan w:val="3"/>
            <w:vAlign w:val="center"/>
          </w:tcPr>
          <w:p>
            <w:pPr>
              <w:jc w:val="lef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2.2.1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★26个标准ASE TEE切面</w:t>
            </w:r>
          </w:p>
        </w:tc>
        <w:tc>
          <w:tcPr>
            <w:tcW w:w="751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要求提供不少于26个标准ASE切面，包括：</w:t>
            </w:r>
          </w:p>
          <w:p>
            <w:pPr>
              <w:rPr>
                <w:rFonts w:hint="eastAsia" w:ascii="宋体" w:hAnsi="宋体" w:eastAsia="宋体" w:cs="宋体"/>
                <w:sz w:val="24"/>
                <w:szCs w:val="24"/>
              </w:rPr>
            </w:pPr>
            <w:r>
              <w:rPr>
                <w:rFonts w:hint="eastAsia" w:ascii="宋体" w:hAnsi="宋体" w:eastAsia="宋体" w:cs="宋体"/>
                <w:sz w:val="24"/>
                <w:szCs w:val="24"/>
              </w:rPr>
              <w:t>(1)食管上段主动脉弓长轴切面；</w:t>
            </w:r>
          </w:p>
          <w:p>
            <w:pPr>
              <w:rPr>
                <w:rFonts w:hint="eastAsia" w:ascii="宋体" w:hAnsi="宋体" w:eastAsia="宋体" w:cs="宋体"/>
                <w:sz w:val="24"/>
                <w:szCs w:val="24"/>
              </w:rPr>
            </w:pPr>
            <w:r>
              <w:rPr>
                <w:rFonts w:hint="eastAsia" w:ascii="宋体" w:hAnsi="宋体" w:eastAsia="宋体" w:cs="宋体"/>
                <w:sz w:val="24"/>
                <w:szCs w:val="24"/>
              </w:rPr>
              <w:t>(2)食管上段主动脉弓短轴切面；</w:t>
            </w:r>
          </w:p>
          <w:p>
            <w:pPr>
              <w:rPr>
                <w:rFonts w:hint="eastAsia" w:ascii="宋体" w:hAnsi="宋体" w:eastAsia="宋体" w:cs="宋体"/>
                <w:sz w:val="24"/>
                <w:szCs w:val="24"/>
              </w:rPr>
            </w:pPr>
            <w:r>
              <w:rPr>
                <w:rFonts w:hint="eastAsia" w:ascii="宋体" w:hAnsi="宋体" w:eastAsia="宋体" w:cs="宋体"/>
                <w:sz w:val="24"/>
                <w:szCs w:val="24"/>
              </w:rPr>
              <w:t>(3) 食管中段升主动脉长轴切面；</w:t>
            </w:r>
          </w:p>
          <w:p>
            <w:pPr>
              <w:rPr>
                <w:rFonts w:hint="eastAsia" w:ascii="宋体" w:hAnsi="宋体" w:eastAsia="宋体" w:cs="宋体"/>
                <w:sz w:val="24"/>
                <w:szCs w:val="24"/>
              </w:rPr>
            </w:pPr>
            <w:r>
              <w:rPr>
                <w:rFonts w:hint="eastAsia" w:ascii="宋体" w:hAnsi="宋体" w:eastAsia="宋体" w:cs="宋体"/>
                <w:sz w:val="24"/>
                <w:szCs w:val="24"/>
              </w:rPr>
              <w:t>(4) 食管中段升主动脉短轴切面；</w:t>
            </w:r>
          </w:p>
          <w:p>
            <w:pPr>
              <w:rPr>
                <w:rFonts w:hint="eastAsia" w:ascii="宋体" w:hAnsi="宋体" w:eastAsia="宋体" w:cs="宋体"/>
                <w:sz w:val="24"/>
                <w:szCs w:val="24"/>
              </w:rPr>
            </w:pPr>
            <w:r>
              <w:rPr>
                <w:rFonts w:hint="eastAsia" w:ascii="宋体" w:hAnsi="宋体" w:eastAsia="宋体" w:cs="宋体"/>
                <w:sz w:val="24"/>
                <w:szCs w:val="24"/>
              </w:rPr>
              <w:t>(5) 食管中段主动脉瓣长轴切面；</w:t>
            </w:r>
          </w:p>
          <w:p>
            <w:pPr>
              <w:rPr>
                <w:rFonts w:hint="eastAsia" w:ascii="宋体" w:hAnsi="宋体" w:eastAsia="宋体" w:cs="宋体"/>
                <w:sz w:val="24"/>
                <w:szCs w:val="24"/>
              </w:rPr>
            </w:pPr>
            <w:r>
              <w:rPr>
                <w:rFonts w:hint="eastAsia" w:ascii="宋体" w:hAnsi="宋体" w:eastAsia="宋体" w:cs="宋体"/>
                <w:sz w:val="24"/>
                <w:szCs w:val="24"/>
              </w:rPr>
              <w:t>(6) 食管中段主动脉瓣短轴切面；</w:t>
            </w:r>
          </w:p>
          <w:p>
            <w:pPr>
              <w:rPr>
                <w:rFonts w:hint="eastAsia" w:ascii="宋体" w:hAnsi="宋体" w:eastAsia="宋体" w:cs="宋体"/>
                <w:sz w:val="24"/>
                <w:szCs w:val="24"/>
              </w:rPr>
            </w:pPr>
            <w:r>
              <w:rPr>
                <w:rFonts w:hint="eastAsia" w:ascii="宋体" w:hAnsi="宋体" w:eastAsia="宋体" w:cs="宋体"/>
                <w:sz w:val="24"/>
                <w:szCs w:val="24"/>
              </w:rPr>
              <w:t>(7) 食管中段四腔切面；</w:t>
            </w:r>
          </w:p>
          <w:p>
            <w:pPr>
              <w:rPr>
                <w:rFonts w:hint="eastAsia" w:ascii="宋体" w:hAnsi="宋体" w:eastAsia="宋体" w:cs="宋体"/>
                <w:sz w:val="24"/>
                <w:szCs w:val="24"/>
              </w:rPr>
            </w:pPr>
            <w:r>
              <w:rPr>
                <w:rFonts w:hint="eastAsia" w:ascii="宋体" w:hAnsi="宋体" w:eastAsia="宋体" w:cs="宋体"/>
                <w:sz w:val="24"/>
                <w:szCs w:val="24"/>
              </w:rPr>
              <w:t>(8) 食管中段二尖瓣联合切面；</w:t>
            </w:r>
          </w:p>
          <w:p>
            <w:pPr>
              <w:rPr>
                <w:rFonts w:hint="eastAsia" w:ascii="宋体" w:hAnsi="宋体" w:eastAsia="宋体" w:cs="宋体"/>
                <w:sz w:val="24"/>
                <w:szCs w:val="24"/>
              </w:rPr>
            </w:pPr>
            <w:r>
              <w:rPr>
                <w:rFonts w:hint="eastAsia" w:ascii="宋体" w:hAnsi="宋体" w:eastAsia="宋体" w:cs="宋体"/>
                <w:sz w:val="24"/>
                <w:szCs w:val="24"/>
              </w:rPr>
              <w:t>(9) 食管中段双腔切面；</w:t>
            </w:r>
          </w:p>
          <w:p>
            <w:pPr>
              <w:rPr>
                <w:rFonts w:hint="eastAsia" w:ascii="宋体" w:hAnsi="宋体" w:eastAsia="宋体" w:cs="宋体"/>
                <w:sz w:val="24"/>
                <w:szCs w:val="24"/>
              </w:rPr>
            </w:pPr>
            <w:r>
              <w:rPr>
                <w:rFonts w:hint="eastAsia" w:ascii="宋体" w:hAnsi="宋体" w:eastAsia="宋体" w:cs="宋体"/>
                <w:sz w:val="24"/>
                <w:szCs w:val="24"/>
              </w:rPr>
              <w:t>(10) 食管中段长轴切面；</w:t>
            </w:r>
          </w:p>
          <w:p>
            <w:pPr>
              <w:rPr>
                <w:rFonts w:hint="eastAsia" w:ascii="宋体" w:hAnsi="宋体" w:eastAsia="宋体" w:cs="宋体"/>
                <w:sz w:val="24"/>
                <w:szCs w:val="24"/>
              </w:rPr>
            </w:pPr>
            <w:r>
              <w:rPr>
                <w:rFonts w:hint="eastAsia" w:ascii="宋体" w:hAnsi="宋体" w:eastAsia="宋体" w:cs="宋体"/>
                <w:sz w:val="24"/>
                <w:szCs w:val="24"/>
              </w:rPr>
              <w:t>(11) 食管中段右室流入-流出切面；</w:t>
            </w:r>
          </w:p>
          <w:p>
            <w:pPr>
              <w:rPr>
                <w:rFonts w:hint="eastAsia" w:ascii="宋体" w:hAnsi="宋体" w:eastAsia="宋体" w:cs="宋体"/>
                <w:sz w:val="24"/>
                <w:szCs w:val="24"/>
              </w:rPr>
            </w:pPr>
            <w:r>
              <w:rPr>
                <w:rFonts w:hint="eastAsia" w:ascii="宋体" w:hAnsi="宋体" w:eastAsia="宋体" w:cs="宋体"/>
                <w:sz w:val="24"/>
                <w:szCs w:val="24"/>
              </w:rPr>
              <w:t>(12) 食管中段双腔静脉切面；</w:t>
            </w:r>
          </w:p>
          <w:p>
            <w:pPr>
              <w:rPr>
                <w:rFonts w:hint="eastAsia" w:ascii="宋体" w:hAnsi="宋体" w:eastAsia="宋体" w:cs="宋体"/>
                <w:sz w:val="24"/>
                <w:szCs w:val="24"/>
              </w:rPr>
            </w:pPr>
            <w:r>
              <w:rPr>
                <w:rFonts w:hint="eastAsia" w:ascii="宋体" w:hAnsi="宋体" w:eastAsia="宋体" w:cs="宋体"/>
                <w:sz w:val="24"/>
                <w:szCs w:val="24"/>
              </w:rPr>
              <w:t>(13)降主动脉短轴切面；</w:t>
            </w:r>
          </w:p>
          <w:p>
            <w:pPr>
              <w:rPr>
                <w:rFonts w:hint="eastAsia" w:ascii="宋体" w:hAnsi="宋体" w:eastAsia="宋体" w:cs="宋体"/>
                <w:sz w:val="24"/>
                <w:szCs w:val="24"/>
              </w:rPr>
            </w:pPr>
            <w:r>
              <w:rPr>
                <w:rFonts w:hint="eastAsia" w:ascii="宋体" w:hAnsi="宋体" w:eastAsia="宋体" w:cs="宋体"/>
                <w:sz w:val="24"/>
                <w:szCs w:val="24"/>
              </w:rPr>
              <w:t xml:space="preserve">(14) 降主动脉长轴切面； </w:t>
            </w:r>
          </w:p>
          <w:p>
            <w:pPr>
              <w:rPr>
                <w:rFonts w:hint="eastAsia" w:ascii="宋体" w:hAnsi="宋体" w:eastAsia="宋体" w:cs="宋体"/>
                <w:sz w:val="24"/>
                <w:szCs w:val="24"/>
              </w:rPr>
            </w:pPr>
            <w:r>
              <w:rPr>
                <w:rFonts w:hint="eastAsia" w:ascii="宋体" w:hAnsi="宋体" w:eastAsia="宋体" w:cs="宋体"/>
                <w:sz w:val="24"/>
                <w:szCs w:val="24"/>
              </w:rPr>
              <w:t xml:space="preserve">(15)经胃底短轴切面； </w:t>
            </w:r>
          </w:p>
          <w:p>
            <w:pPr>
              <w:rPr>
                <w:rFonts w:hint="eastAsia" w:ascii="宋体" w:hAnsi="宋体" w:eastAsia="宋体" w:cs="宋体"/>
                <w:sz w:val="24"/>
                <w:szCs w:val="24"/>
              </w:rPr>
            </w:pPr>
            <w:r>
              <w:rPr>
                <w:rFonts w:hint="eastAsia" w:ascii="宋体" w:hAnsi="宋体" w:eastAsia="宋体" w:cs="宋体"/>
                <w:sz w:val="24"/>
                <w:szCs w:val="24"/>
              </w:rPr>
              <w:t xml:space="preserve">(16)经胃乳头状中部短周切面； </w:t>
            </w:r>
          </w:p>
          <w:p>
            <w:pPr>
              <w:rPr>
                <w:rFonts w:hint="eastAsia" w:ascii="宋体" w:hAnsi="宋体" w:eastAsia="宋体" w:cs="宋体"/>
                <w:sz w:val="24"/>
                <w:szCs w:val="24"/>
              </w:rPr>
            </w:pPr>
            <w:r>
              <w:rPr>
                <w:rFonts w:hint="eastAsia" w:ascii="宋体" w:hAnsi="宋体" w:eastAsia="宋体" w:cs="宋体"/>
                <w:sz w:val="24"/>
                <w:szCs w:val="24"/>
              </w:rPr>
              <w:t>(17)经胃深部长轴切面；</w:t>
            </w:r>
          </w:p>
          <w:p>
            <w:pPr>
              <w:rPr>
                <w:rFonts w:hint="eastAsia" w:ascii="宋体" w:hAnsi="宋体" w:eastAsia="宋体" w:cs="宋体"/>
                <w:sz w:val="24"/>
                <w:szCs w:val="24"/>
              </w:rPr>
            </w:pPr>
            <w:r>
              <w:rPr>
                <w:rFonts w:hint="eastAsia" w:ascii="宋体" w:hAnsi="宋体" w:eastAsia="宋体" w:cs="宋体"/>
                <w:sz w:val="24"/>
                <w:szCs w:val="24"/>
              </w:rPr>
              <w:t>(18)经胃心间短轴切面；</w:t>
            </w:r>
          </w:p>
          <w:p>
            <w:pPr>
              <w:rPr>
                <w:rFonts w:hint="eastAsia" w:ascii="宋体" w:hAnsi="宋体" w:eastAsia="宋体" w:cs="宋体"/>
                <w:sz w:val="24"/>
                <w:szCs w:val="24"/>
              </w:rPr>
            </w:pPr>
            <w:r>
              <w:rPr>
                <w:rFonts w:hint="eastAsia" w:ascii="宋体" w:hAnsi="宋体" w:eastAsia="宋体" w:cs="宋体"/>
                <w:sz w:val="24"/>
                <w:szCs w:val="24"/>
              </w:rPr>
              <w:t>(19)食管中段五腔心切面；</w:t>
            </w:r>
          </w:p>
          <w:p>
            <w:pPr>
              <w:rPr>
                <w:rFonts w:hint="eastAsia" w:ascii="宋体" w:hAnsi="宋体" w:eastAsia="宋体" w:cs="宋体"/>
                <w:sz w:val="24"/>
                <w:szCs w:val="24"/>
              </w:rPr>
            </w:pPr>
            <w:r>
              <w:rPr>
                <w:rFonts w:hint="eastAsia" w:ascii="宋体" w:hAnsi="宋体" w:eastAsia="宋体" w:cs="宋体"/>
                <w:sz w:val="24"/>
                <w:szCs w:val="24"/>
              </w:rPr>
              <w:t>(20)经胃右室流入道切面；</w:t>
            </w:r>
          </w:p>
          <w:p>
            <w:pPr>
              <w:rPr>
                <w:rFonts w:hint="eastAsia" w:ascii="宋体" w:hAnsi="宋体" w:eastAsia="宋体" w:cs="宋体"/>
                <w:sz w:val="24"/>
                <w:szCs w:val="24"/>
              </w:rPr>
            </w:pPr>
            <w:r>
              <w:rPr>
                <w:rFonts w:hint="eastAsia" w:ascii="宋体" w:hAnsi="宋体" w:eastAsia="宋体" w:cs="宋体"/>
                <w:sz w:val="24"/>
                <w:szCs w:val="24"/>
              </w:rPr>
              <w:t>(21)经胃长轴切面；</w:t>
            </w:r>
          </w:p>
          <w:p>
            <w:pPr>
              <w:rPr>
                <w:rFonts w:hint="eastAsia" w:ascii="宋体" w:hAnsi="宋体" w:eastAsia="宋体" w:cs="宋体"/>
                <w:sz w:val="24"/>
                <w:szCs w:val="24"/>
              </w:rPr>
            </w:pPr>
            <w:r>
              <w:rPr>
                <w:rFonts w:hint="eastAsia" w:ascii="宋体" w:hAnsi="宋体" w:eastAsia="宋体" w:cs="宋体"/>
                <w:sz w:val="24"/>
                <w:szCs w:val="24"/>
              </w:rPr>
              <w:t>(22)经胃双腔切面；</w:t>
            </w:r>
          </w:p>
          <w:p>
            <w:pPr>
              <w:rPr>
                <w:rFonts w:hint="eastAsia" w:ascii="宋体" w:hAnsi="宋体" w:eastAsia="宋体" w:cs="宋体"/>
                <w:sz w:val="24"/>
                <w:szCs w:val="24"/>
              </w:rPr>
            </w:pPr>
            <w:r>
              <w:rPr>
                <w:rFonts w:hint="eastAsia" w:ascii="宋体" w:hAnsi="宋体" w:eastAsia="宋体" w:cs="宋体"/>
                <w:sz w:val="24"/>
                <w:szCs w:val="24"/>
              </w:rPr>
              <w:t>(23)改良的食管中段四腔切面；</w:t>
            </w:r>
          </w:p>
          <w:p>
            <w:pPr>
              <w:rPr>
                <w:rFonts w:hint="eastAsia" w:ascii="宋体" w:hAnsi="宋体" w:eastAsia="宋体" w:cs="宋体"/>
                <w:sz w:val="24"/>
                <w:szCs w:val="24"/>
              </w:rPr>
            </w:pPr>
            <w:r>
              <w:rPr>
                <w:rFonts w:hint="eastAsia" w:ascii="宋体" w:hAnsi="宋体" w:eastAsia="宋体" w:cs="宋体"/>
                <w:sz w:val="24"/>
                <w:szCs w:val="24"/>
              </w:rPr>
              <w:t>(24)改良的食管中段双腔切面；</w:t>
            </w:r>
          </w:p>
          <w:p>
            <w:pPr>
              <w:rPr>
                <w:rFonts w:hint="eastAsia" w:ascii="宋体" w:hAnsi="宋体" w:eastAsia="宋体" w:cs="宋体"/>
                <w:sz w:val="24"/>
                <w:szCs w:val="24"/>
              </w:rPr>
            </w:pPr>
            <w:r>
              <w:rPr>
                <w:rFonts w:hint="eastAsia" w:ascii="宋体" w:hAnsi="宋体" w:eastAsia="宋体" w:cs="宋体"/>
                <w:sz w:val="24"/>
                <w:szCs w:val="24"/>
              </w:rPr>
              <w:t>(25)改良的食管中段双腔静脉切面；</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(26)改良的食管上段主动脉弓短轴切面。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2.2.2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★20个标准ASE TTE切面</w:t>
            </w:r>
          </w:p>
        </w:tc>
        <w:tc>
          <w:tcPr>
            <w:tcW w:w="7513" w:type="dxa"/>
            <w:gridSpan w:val="3"/>
            <w:vAlign w:val="center"/>
          </w:tcPr>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要求提供不少于20个标准ASE切面，包括：</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（1）胸骨旁长轴切面；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（2）胸骨旁右室流入道切面；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（3）胸骨旁右室流出道切面；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（4）肺动脉分叉水平胸骨旁短轴切面；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（5）主动脉瓣水平胸骨旁短轴切面；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（6）二尖瓣水平胸骨旁短轴切面；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（7）左室乳头肌水平胸骨旁短轴切面；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（8）胸骨旁心尖短轴切面；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（9）心尖四腔心切面；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（10）心尖五腔心切面；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（11）心尖两腔心切面；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（12）心尖三腔心切面；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（13）剑下四腔心切面；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（14）主动脉瓣水平剑下短轴切面；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（15）二尖瓣水平剑下短轴切面；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（16）左室水平剑下短轴切面；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（17）剑下右室流出道切面；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（18）剑下下腔静脉长轴切面；</w:t>
            </w:r>
          </w:p>
          <w:p>
            <w:pPr>
              <w:snapToGrid w:val="0"/>
              <w:spacing w:line="276" w:lineRule="auto"/>
              <w:rPr>
                <w:rFonts w:hint="eastAsia" w:ascii="宋体" w:hAnsi="宋体" w:eastAsia="宋体" w:cs="宋体"/>
                <w:sz w:val="24"/>
                <w:szCs w:val="24"/>
              </w:rPr>
            </w:pPr>
            <w:r>
              <w:rPr>
                <w:rFonts w:hint="eastAsia" w:ascii="宋体" w:hAnsi="宋体" w:eastAsia="宋体" w:cs="宋体"/>
                <w:sz w:val="24"/>
                <w:szCs w:val="24"/>
              </w:rPr>
              <w:t>（19）主动脉水平胸骨上窝长轴切面；</w:t>
            </w:r>
          </w:p>
          <w:p>
            <w:pPr>
              <w:snapToGrid w:val="0"/>
              <w:spacing w:line="276" w:lineRule="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（20）主动脉水平胸骨上窝短轴切面。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动态心脏解剖教学功能</w:t>
            </w:r>
          </w:p>
        </w:tc>
        <w:tc>
          <w:tcPr>
            <w:tcW w:w="7513" w:type="dxa"/>
            <w:gridSpan w:val="3"/>
            <w:vAlign w:val="center"/>
          </w:tcPr>
          <w:p>
            <w:pPr>
              <w:jc w:val="lef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★三维动态心脏</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具有根据真人心脏构建的高分辨率、高解像度三维动态心脏，可逼真显示全部心肌、血管、瓣膜等≥200个心脏解剖结构的3D动态图像，可精确标准显示二尖瓣A1/A2/A3/P1/P2/P3结构。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心脏解剖结构</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任意通过文字窗口菜单、3D心脏模型、2D超声影像的方式选择≥200个心脏解剖结构，并可逐一、单独、高亮标注解剖结构的构造、位置、动态操作手法演示以及标准切面。所标注的高亮教学区，3D心脏模型与2D超声影像显示内容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2.3.3</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3D动态心脏移动缩放</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3D动态心脏可任意平移、360度旋转、缩放。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2.3.4</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3D动态心脏任意去除心脏解剖结构</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3D动态心脏可在经食道超声操作中，任意去除≥200个心脏解剖结构，进行分步教学。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2.3.5</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3D动态心脏切割</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3D动态心脏可以任意360°选择，进行切面切割教学，并动态逐层显示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2.3.6</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超声动态双切面</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可进行超声动态双切面训练，双切面的角度可任意调节。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模拟测量功能</w:t>
            </w:r>
          </w:p>
        </w:tc>
        <w:tc>
          <w:tcPr>
            <w:tcW w:w="7513" w:type="dxa"/>
            <w:gridSpan w:val="3"/>
            <w:vAlign w:val="center"/>
          </w:tcPr>
          <w:p>
            <w:pPr>
              <w:rPr>
                <w:rFonts w:hint="eastAsia" w:ascii="宋体" w:hAnsi="宋体" w:eastAsia="宋体" w:cs="宋体"/>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M型超声测量</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可在心动超声的动态模拟操作中对任意解剖结构进行M型测量。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彩色血流多普勒测量</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可在心动超声的动态模拟操作中对任意解剖结构进行彩色血流多普勒测量，包括连续多普勒及脉冲多普勒。测速基线和速度范围可随时调节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2.4.3</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各解剖结构距离、面积测量</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可在心动超声的动态模拟操作中对任意解剖结构进行距离和面积的测量。可实时测量速度时间积分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2.4.4</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瓣膜测量</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可进行四心室/主动脉/肺动脉/瓣膜的流速、距离、面积等数据测量和记录。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2.5</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评估功能</w:t>
            </w:r>
          </w:p>
        </w:tc>
        <w:tc>
          <w:tcPr>
            <w:tcW w:w="7513" w:type="dxa"/>
            <w:gridSpan w:val="3"/>
            <w:vAlign w:val="center"/>
          </w:tcPr>
          <w:p>
            <w:pPr>
              <w:rPr>
                <w:rFonts w:hint="eastAsia" w:ascii="宋体" w:hAnsi="宋体" w:eastAsia="宋体" w:cs="宋体"/>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2.5.1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超声报告评估</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可进行超声报告评估，评估内容包含所有切面标准评估，测量数据评估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2.5.2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评估报告保存和导出</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评估报告可保存和导出，可应用规培教学或考试评估。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教学病例</w:t>
            </w:r>
          </w:p>
        </w:tc>
        <w:tc>
          <w:tcPr>
            <w:tcW w:w="7513" w:type="dxa"/>
            <w:gridSpan w:val="3"/>
            <w:vAlign w:val="center"/>
          </w:tcPr>
          <w:p>
            <w:pPr>
              <w:rPr>
                <w:rFonts w:hint="eastAsia" w:ascii="宋体" w:hAnsi="宋体" w:eastAsia="宋体" w:cs="宋体"/>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★25个病理性心脏结构</w:t>
            </w:r>
          </w:p>
        </w:tc>
        <w:tc>
          <w:tcPr>
            <w:tcW w:w="7513" w:type="dxa"/>
            <w:gridSpan w:val="3"/>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要求提供不少于25个病理性心脏结构，进行病例教学。</w:t>
            </w:r>
          </w:p>
          <w:p>
            <w:pPr>
              <w:spacing w:line="276" w:lineRule="auto"/>
              <w:rPr>
                <w:rFonts w:hint="eastAsia" w:ascii="宋体" w:hAnsi="宋体" w:eastAsia="宋体" w:cs="宋体"/>
                <w:sz w:val="24"/>
                <w:szCs w:val="24"/>
              </w:rPr>
            </w:pPr>
            <w:r>
              <w:rPr>
                <w:rFonts w:hint="eastAsia" w:ascii="宋体" w:hAnsi="宋体" w:eastAsia="宋体" w:cs="宋体"/>
                <w:sz w:val="24"/>
                <w:szCs w:val="24"/>
              </w:rPr>
              <w:t>包括：</w:t>
            </w:r>
          </w:p>
          <w:p>
            <w:pPr>
              <w:spacing w:line="276" w:lineRule="auto"/>
              <w:rPr>
                <w:rFonts w:hint="eastAsia" w:ascii="宋体" w:hAnsi="宋体" w:eastAsia="宋体" w:cs="宋体"/>
                <w:sz w:val="24"/>
                <w:szCs w:val="24"/>
              </w:rPr>
            </w:pPr>
            <w:r>
              <w:rPr>
                <w:rFonts w:hint="eastAsia" w:ascii="宋体" w:hAnsi="宋体" w:eastAsia="宋体" w:cs="宋体"/>
                <w:sz w:val="24"/>
                <w:szCs w:val="24"/>
              </w:rPr>
              <w:t>(1)左室前壁运动异常；</w:t>
            </w:r>
          </w:p>
          <w:p>
            <w:pPr>
              <w:spacing w:line="276" w:lineRule="auto"/>
              <w:rPr>
                <w:rFonts w:hint="eastAsia" w:ascii="宋体" w:hAnsi="宋体" w:eastAsia="宋体" w:cs="宋体"/>
                <w:sz w:val="24"/>
                <w:szCs w:val="24"/>
              </w:rPr>
            </w:pPr>
            <w:r>
              <w:rPr>
                <w:rFonts w:hint="eastAsia" w:ascii="宋体" w:hAnsi="宋体" w:eastAsia="宋体" w:cs="宋体"/>
                <w:sz w:val="24"/>
                <w:szCs w:val="24"/>
              </w:rPr>
              <w:t>(2)整体功能不全；</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(3)低血容量；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(4)二尖瓣返流；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(5)二尖瓣狭窄； </w:t>
            </w:r>
          </w:p>
          <w:p>
            <w:pPr>
              <w:spacing w:line="276" w:lineRule="auto"/>
              <w:rPr>
                <w:rFonts w:hint="eastAsia" w:ascii="宋体" w:hAnsi="宋体" w:eastAsia="宋体" w:cs="宋体"/>
                <w:sz w:val="24"/>
                <w:szCs w:val="24"/>
              </w:rPr>
            </w:pPr>
            <w:r>
              <w:rPr>
                <w:rFonts w:hint="eastAsia" w:ascii="宋体" w:hAnsi="宋体" w:eastAsia="宋体" w:cs="宋体"/>
                <w:sz w:val="24"/>
                <w:szCs w:val="24"/>
              </w:rPr>
              <w:t>(6)主动脉瓣狭窄；</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(7)主动脉壁夹层；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(8)房间隔缺损；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(9)单页左心耳封堵；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(10)钩状左心耳封堵；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(11)多页左心耳封堵；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(12)主动脉瓣置换；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(13)右心功能不全伴三尖瓣反流；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(14)主动脉瓣反流； </w:t>
            </w:r>
          </w:p>
          <w:p>
            <w:pPr>
              <w:spacing w:line="276" w:lineRule="auto"/>
              <w:rPr>
                <w:rFonts w:hint="eastAsia" w:ascii="宋体" w:hAnsi="宋体" w:eastAsia="宋体" w:cs="宋体"/>
                <w:sz w:val="24"/>
                <w:szCs w:val="24"/>
              </w:rPr>
            </w:pPr>
            <w:r>
              <w:rPr>
                <w:rFonts w:hint="eastAsia" w:ascii="宋体" w:hAnsi="宋体" w:eastAsia="宋体" w:cs="宋体"/>
                <w:sz w:val="24"/>
                <w:szCs w:val="24"/>
              </w:rPr>
              <w:t>(15)胸腔积液；</w:t>
            </w:r>
          </w:p>
          <w:p>
            <w:pPr>
              <w:spacing w:line="276" w:lineRule="auto"/>
              <w:rPr>
                <w:rFonts w:hint="eastAsia" w:ascii="宋体" w:hAnsi="宋体" w:eastAsia="宋体" w:cs="宋体"/>
                <w:sz w:val="24"/>
                <w:szCs w:val="24"/>
              </w:rPr>
            </w:pPr>
            <w:r>
              <w:rPr>
                <w:rFonts w:hint="eastAsia" w:ascii="宋体" w:hAnsi="宋体" w:eastAsia="宋体" w:cs="宋体"/>
                <w:sz w:val="24"/>
                <w:szCs w:val="24"/>
              </w:rPr>
              <w:t>(16)单页左心耳；</w:t>
            </w:r>
          </w:p>
          <w:p>
            <w:pPr>
              <w:spacing w:line="276" w:lineRule="auto"/>
              <w:rPr>
                <w:rFonts w:hint="eastAsia" w:ascii="宋体" w:hAnsi="宋体" w:eastAsia="宋体" w:cs="宋体"/>
                <w:sz w:val="24"/>
                <w:szCs w:val="24"/>
              </w:rPr>
            </w:pPr>
            <w:r>
              <w:rPr>
                <w:rFonts w:hint="eastAsia" w:ascii="宋体" w:hAnsi="宋体" w:eastAsia="宋体" w:cs="宋体"/>
                <w:sz w:val="24"/>
                <w:szCs w:val="24"/>
              </w:rPr>
              <w:t>(17)钩状左心耳；</w:t>
            </w:r>
          </w:p>
          <w:p>
            <w:pPr>
              <w:spacing w:line="276" w:lineRule="auto"/>
              <w:rPr>
                <w:rFonts w:hint="eastAsia" w:ascii="宋体" w:hAnsi="宋体" w:eastAsia="宋体" w:cs="宋体"/>
                <w:sz w:val="24"/>
                <w:szCs w:val="24"/>
              </w:rPr>
            </w:pPr>
            <w:r>
              <w:rPr>
                <w:rFonts w:hint="eastAsia" w:ascii="宋体" w:hAnsi="宋体" w:eastAsia="宋体" w:cs="宋体"/>
                <w:sz w:val="24"/>
                <w:szCs w:val="24"/>
              </w:rPr>
              <w:t>(18)多页左心耳；</w:t>
            </w:r>
          </w:p>
          <w:p>
            <w:pPr>
              <w:spacing w:line="276" w:lineRule="auto"/>
              <w:rPr>
                <w:rFonts w:hint="eastAsia" w:ascii="宋体" w:hAnsi="宋体" w:eastAsia="宋体" w:cs="宋体"/>
                <w:sz w:val="24"/>
                <w:szCs w:val="24"/>
              </w:rPr>
            </w:pPr>
            <w:r>
              <w:rPr>
                <w:rFonts w:hint="eastAsia" w:ascii="宋体" w:hAnsi="宋体" w:eastAsia="宋体" w:cs="宋体"/>
                <w:sz w:val="24"/>
                <w:szCs w:val="24"/>
              </w:rPr>
              <w:t>(19)心脏压塞；</w:t>
            </w:r>
          </w:p>
          <w:p>
            <w:pPr>
              <w:spacing w:line="276" w:lineRule="auto"/>
              <w:rPr>
                <w:rFonts w:hint="eastAsia" w:ascii="宋体" w:hAnsi="宋体" w:eastAsia="宋体" w:cs="宋体"/>
                <w:sz w:val="24"/>
                <w:szCs w:val="24"/>
              </w:rPr>
            </w:pPr>
            <w:r>
              <w:rPr>
                <w:rFonts w:hint="eastAsia" w:ascii="宋体" w:hAnsi="宋体" w:eastAsia="宋体" w:cs="宋体"/>
                <w:sz w:val="24"/>
                <w:szCs w:val="24"/>
              </w:rPr>
              <w:t>(20)气胸；</w:t>
            </w:r>
          </w:p>
          <w:p>
            <w:pPr>
              <w:spacing w:line="276" w:lineRule="auto"/>
              <w:rPr>
                <w:rFonts w:hint="eastAsia" w:ascii="宋体" w:hAnsi="宋体" w:eastAsia="宋体" w:cs="宋体"/>
                <w:sz w:val="24"/>
                <w:szCs w:val="24"/>
              </w:rPr>
            </w:pPr>
            <w:r>
              <w:rPr>
                <w:rFonts w:hint="eastAsia" w:ascii="宋体" w:hAnsi="宋体" w:eastAsia="宋体" w:cs="宋体"/>
                <w:sz w:val="24"/>
                <w:szCs w:val="24"/>
              </w:rPr>
              <w:t>(21)肺动脉栓塞；</w:t>
            </w:r>
          </w:p>
          <w:p>
            <w:pPr>
              <w:spacing w:line="276" w:lineRule="auto"/>
              <w:rPr>
                <w:rFonts w:hint="eastAsia" w:ascii="宋体" w:hAnsi="宋体" w:eastAsia="宋体" w:cs="宋体"/>
                <w:sz w:val="24"/>
                <w:szCs w:val="24"/>
              </w:rPr>
            </w:pPr>
            <w:r>
              <w:rPr>
                <w:rFonts w:hint="eastAsia" w:ascii="宋体" w:hAnsi="宋体" w:eastAsia="宋体" w:cs="宋体"/>
                <w:sz w:val="24"/>
                <w:szCs w:val="24"/>
              </w:rPr>
              <w:t>(22)正常心脏；</w:t>
            </w:r>
          </w:p>
          <w:p>
            <w:pPr>
              <w:spacing w:line="276" w:lineRule="auto"/>
              <w:rPr>
                <w:rFonts w:hint="eastAsia" w:ascii="宋体" w:hAnsi="宋体" w:eastAsia="宋体" w:cs="宋体"/>
                <w:sz w:val="24"/>
                <w:szCs w:val="24"/>
              </w:rPr>
            </w:pPr>
            <w:r>
              <w:rPr>
                <w:rFonts w:hint="eastAsia" w:ascii="宋体" w:hAnsi="宋体" w:eastAsia="宋体" w:cs="宋体"/>
                <w:sz w:val="24"/>
                <w:szCs w:val="24"/>
              </w:rPr>
              <w:t>(23)正常肺；</w:t>
            </w:r>
          </w:p>
          <w:p>
            <w:pPr>
              <w:spacing w:line="276" w:lineRule="auto"/>
              <w:rPr>
                <w:rFonts w:hint="eastAsia" w:ascii="宋体" w:hAnsi="宋体" w:eastAsia="宋体" w:cs="宋体"/>
                <w:sz w:val="24"/>
                <w:szCs w:val="24"/>
              </w:rPr>
            </w:pPr>
            <w:r>
              <w:rPr>
                <w:rFonts w:hint="eastAsia" w:ascii="宋体" w:hAnsi="宋体" w:eastAsia="宋体" w:cs="宋体"/>
                <w:sz w:val="24"/>
                <w:szCs w:val="24"/>
              </w:rPr>
              <w:t>(24)右冠状动脉区域室壁运动异常；</w:t>
            </w:r>
          </w:p>
          <w:p>
            <w:pPr>
              <w:spacing w:line="276" w:lineRule="auto"/>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(25)肥厚性梗阻心肌病伴收缩期前向运动。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3D心脏模型与2D超声影像实时同步</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3D心脏模型与2D超声影像实时同步显示该病理性心脏解剖结构。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2.7</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课程要求</w:t>
            </w:r>
          </w:p>
        </w:tc>
        <w:tc>
          <w:tcPr>
            <w:tcW w:w="7513" w:type="dxa"/>
            <w:gridSpan w:val="3"/>
            <w:vAlign w:val="center"/>
          </w:tcPr>
          <w:p>
            <w:pPr>
              <w:rPr>
                <w:rFonts w:hint="eastAsia" w:ascii="宋体" w:hAnsi="宋体" w:eastAsia="宋体" w:cs="宋体"/>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2.7.1</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生成“幻灯片”演讲</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具备3D心脏解剖显示功能，以及生成“幻灯片”演讲的模块。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2.7.2</w:t>
            </w:r>
          </w:p>
        </w:tc>
        <w:tc>
          <w:tcPr>
            <w:tcW w:w="1482" w:type="dxa"/>
            <w:gridSpan w:val="2"/>
            <w:vAlign w:val="center"/>
          </w:tcPr>
          <w:p>
            <w:pPr>
              <w:jc w:val="center"/>
              <w:rPr>
                <w:rFonts w:hint="eastAsia" w:ascii="宋体" w:hAnsi="宋体" w:eastAsia="宋体" w:cs="宋体"/>
                <w:b/>
                <w:kern w:val="2"/>
                <w:sz w:val="24"/>
                <w:szCs w:val="24"/>
                <w:lang w:val="en-US" w:eastAsia="zh-Hans" w:bidi="ar-SA"/>
              </w:rPr>
            </w:pPr>
            <w:r>
              <w:rPr>
                <w:rFonts w:hint="eastAsia" w:ascii="宋体" w:hAnsi="宋体" w:eastAsia="宋体" w:cs="宋体"/>
                <w:sz w:val="24"/>
                <w:szCs w:val="24"/>
              </w:rPr>
              <w:t>ASE认证教学课程</w:t>
            </w:r>
          </w:p>
        </w:tc>
        <w:tc>
          <w:tcPr>
            <w:tcW w:w="7513"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具备ASE认证教学课程，包含正常心脏及病理性心脏的教学。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床旁超声组织病理模块</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系统要求包含床旁超声各组织病例教学模块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★9大病例模块</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要求至少包括9大组织病例模块，涵盖不少于100种病例场景。包含：心脏疾病病例、胸部和肺部病例、腹主动脉瘤病例、肾脏和生殖泌尿病例、肝胆疾病病例、妇产科病例、下腔静脉病例、创伤病例，以及多系统综合病变类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心脏疾病病例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心脏疾病病例包含正常心脏超声教学及心脏压塞、左、右室功能不全等异常心脏病例教学。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3.3</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胸部和肺部病例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胸部和肺部病例库包含正常肺部超声教学及不同程度的左、右侧气胸，胸腔积液，肺水肿等异常肺部病例教学。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3.4</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腹主动脉瘤病例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腹主动脉瘤病例库包含正常腹部超声教学及梭形动脉瘤、囊状动脉瘤、夹层动脉瘤等异常病例教学。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3.5</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肾脏和生殖泌尿病例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肾脏和生殖泌尿病例库包含正常肾脏结构教学及左、右肾的肾结石、肾盂积液、肾囊肿等异常病例教学。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3.6</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肝胆病例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肝胆病例库包含正常肝胆超声结构教学及蜷缩胆囊、胆囊结石、结石性胆囊炎、坏疽性胆囊炎、腺肌瘤病、胆总管扩张、肝转移瘤等至少7种不同程度的病例教学。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3.7</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妇产科病例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妇产科病例库包含正常结构的教学及左、右侧异位妊娠等病例教学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3.8</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下腔静脉病例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下腔静脉病例库包含正常下腔静脉教学及下腔静脉收缩、扩张等病例教学。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3.9</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创伤病例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创伤病例库包含各类正常及异常的左、右隔下间隙，脾肾间隙等教学。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3.10</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多系统综合病变类病例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多系统综合病变类病例库，包含至少12种不同程度的综合教学病例。要求至少包括：莫里森袋大量积液，直肠子宫陷凹中量积液，左/右膈下间隙的大量积液；大量右胸胸腔积液，大量左胸胸腔积液，盆腔大肿块；大量右胸胸腔积液，大量左胸胸腔积液，肝转移瘤，盆腔大肿块；摩里遜氏陷凹少量积液，蜕膜化子宫内膜，直肠子宫陷凹积液；摩里遜氏陷凹少量积液，左侧异位妊娠破裂等教学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3.11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★导师控制系统实时病例编辑</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要求具有导师控制系统，配备平板电脑作为导师控制端，进行实时病例编辑，导师机和工作站以及模拟人之间采用无线数据传输。导师可实时对左、右肺、心脏、左、右隔下间隙、胆囊、腹主动脉、左、右肾、盆腔等病理性模块编辑变化，用于考核综合超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床旁超声课程模块</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系统要求包含床旁超声课程模块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★6大类病例库</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床旁超声课程模块要求至少包含6大类病例库，可模拟病例场景至少62种。包括：FAST超声病例库，eFAST超声病例库(胸廓)，心肺急症超声病例库，腹主动脉瘤超声病例库，生殖系统病例库，电击和复苏（下腔静脉）超声病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FAST超声病例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FAST超声病例库要求不少于30种不同程度的病例场景，内容涵盖右膈下间隙积液病例、摩里遜氏陷凹积液病例、左膈下间隙积液病例、脾肾间隙积液病例、直肠子宫陷凹积液病例、心脏压塞病例。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4.3</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eFAST超声病例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eFAST超声病例库(胸廓)要求不少于10种不同程度的病例场景，内容涵盖右胸气胸病例、左胸气胸病例、右胸胸腔积液病例、左胸胸腔积液病例、肺水肿病例。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4.4</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心肺急症超声病例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心肺急症超声病例库要求不少于8种不同程度的病例场景，内容涵盖心脏压塞、左、右室功能不全、主动脉狭窄、二尖瓣返流、二尖瓣狭窄、肺栓塞等病例。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4.5</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腹主动脉瘤超声病例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腹主动脉瘤超声病例库要求不少于5种不同程度的病例场景，内容涵盖梭形动脉瘤、囊状动脉瘤、夹层动脉瘤等病例。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4.6</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生殖系统超声病例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生殖系统超声病例库要求不少于5种不同程度的病例场景，内容涵盖早期妊娠病例，左侧、右侧异位妊娠病例，左侧、右侧异位妊娠破裂，蜕膜化子宫内膜等病例。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4.7</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电击和复苏（下腔静脉）超声</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电击和复苏（下腔静脉）超声病例库要求不少于4种不同程度的病例场景，内容涵盖下腔静脉超声病例、下腔静脉收缩、下腔静脉扩张等病例。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新冠肺炎病历库</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系统包含新冠肺炎病例库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5.1</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新冠病例</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系统根据临床真实病例数据，具有重症患者病例，包含四类不同程度的新冠肺炎病例：(1)正常肺部结构 (2)轻度新冠肺炎 (3)中度新冠肺炎 (4)重度新冠肺炎。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5.2</w:t>
            </w:r>
          </w:p>
        </w:tc>
        <w:tc>
          <w:tcPr>
            <w:tcW w:w="1482" w:type="dxa"/>
            <w:gridSpan w:val="2"/>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b/>
                <w:sz w:val="24"/>
                <w:szCs w:val="24"/>
              </w:rPr>
              <w:t>＃</w:t>
            </w:r>
            <w:r>
              <w:rPr>
                <w:rFonts w:hint="eastAsia" w:ascii="宋体" w:hAnsi="宋体" w:eastAsia="宋体" w:cs="宋体"/>
                <w:sz w:val="24"/>
                <w:szCs w:val="24"/>
              </w:rPr>
              <w:t>评估</w:t>
            </w:r>
          </w:p>
        </w:tc>
        <w:tc>
          <w:tcPr>
            <w:tcW w:w="7513"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操作完成后，系统内置客观化评估指标，自动生成数字和图形的反馈数据，用于考核和评估学员训练情况。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6"/>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交付时间</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合同签订后三个月内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交付地点</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客户指定地点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质保期</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备件库</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维修站</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西安有维修服务人员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收费标准</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质保期满维修只收零配件成本费，不收人工费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培训支持</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免费提供现场操作使用和维护保养培训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维修响应</w:t>
            </w:r>
          </w:p>
        </w:tc>
        <w:tc>
          <w:tcPr>
            <w:tcW w:w="7513" w:type="dxa"/>
            <w:gridSpan w:val="3"/>
            <w:vAlign w:val="center"/>
          </w:tcPr>
          <w:p>
            <w:pPr>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2小时内响应，24小时内到达客户现场。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5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482" w:type="dxa"/>
            <w:gridSpan w:val="2"/>
            <w:vAlign w:val="center"/>
          </w:tcPr>
          <w:p>
            <w:pPr>
              <w:adjustRightInd w:val="0"/>
              <w:snapToGrid w:val="0"/>
              <w:jc w:val="center"/>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包装运输</w:t>
            </w:r>
          </w:p>
        </w:tc>
        <w:tc>
          <w:tcPr>
            <w:tcW w:w="7513" w:type="dxa"/>
            <w:gridSpan w:val="3"/>
            <w:vAlign w:val="center"/>
          </w:tcPr>
          <w:p>
            <w:pPr>
              <w:tabs>
                <w:tab w:val="left" w:pos="2266"/>
                <w:tab w:val="center" w:pos="3088"/>
              </w:tabs>
              <w:adjustRightInd w:val="0"/>
              <w:snapToGrid w:val="0"/>
              <w:jc w:val="left"/>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费用由供应商承担</w:t>
            </w:r>
          </w:p>
        </w:tc>
      </w:tr>
      <w:bookmarkEnd w:id="0"/>
    </w:tbl>
    <w:p>
      <w:pPr>
        <w:widowControl/>
        <w:jc w:val="left"/>
        <w:rPr>
          <w:rFonts w:ascii="宋体" w:hAnsi="宋体"/>
          <w:sz w:val="24"/>
        </w:rPr>
      </w:pPr>
      <w:r>
        <w:rPr>
          <w:rFonts w:hint="eastAsia" w:ascii="宋体" w:hAnsi="宋体"/>
          <w:sz w:val="24"/>
        </w:rPr>
        <w:t>说明：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3151D7"/>
    <w:rsid w:val="003250CD"/>
    <w:rsid w:val="00344E7A"/>
    <w:rsid w:val="003526D5"/>
    <w:rsid w:val="00361D23"/>
    <w:rsid w:val="003A3ABE"/>
    <w:rsid w:val="003A77C9"/>
    <w:rsid w:val="003C04BD"/>
    <w:rsid w:val="003C0D17"/>
    <w:rsid w:val="003C1FAC"/>
    <w:rsid w:val="00415F46"/>
    <w:rsid w:val="00434A75"/>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500D7"/>
    <w:rsid w:val="00776C3E"/>
    <w:rsid w:val="00790D63"/>
    <w:rsid w:val="007975BA"/>
    <w:rsid w:val="007C061A"/>
    <w:rsid w:val="007D147D"/>
    <w:rsid w:val="007D37E2"/>
    <w:rsid w:val="007D6AA8"/>
    <w:rsid w:val="007E2DAD"/>
    <w:rsid w:val="007F4F99"/>
    <w:rsid w:val="008025C6"/>
    <w:rsid w:val="00815EDB"/>
    <w:rsid w:val="00826E11"/>
    <w:rsid w:val="0082728A"/>
    <w:rsid w:val="0083233E"/>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4E39"/>
    <w:rsid w:val="00D3534D"/>
    <w:rsid w:val="00D509BA"/>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D101E"/>
    <w:rsid w:val="00FD63B8"/>
    <w:rsid w:val="13311780"/>
    <w:rsid w:val="19A15E62"/>
    <w:rsid w:val="54993799"/>
    <w:rsid w:val="5DB5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4">
    <w:name w:val="heading 3"/>
    <w:basedOn w:val="1"/>
    <w:next w:val="5"/>
    <w:link w:val="35"/>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Normal Indent"/>
    <w:basedOn w:val="1"/>
    <w:semiHidden/>
    <w:unhideWhenUsed/>
    <w:qFormat/>
    <w:uiPriority w:val="0"/>
    <w:pPr>
      <w:ind w:firstLine="420" w:firstLineChars="200"/>
    </w:pPr>
  </w:style>
  <w:style w:type="paragraph" w:styleId="6">
    <w:name w:val="Document Map"/>
    <w:basedOn w:val="1"/>
    <w:link w:val="27"/>
    <w:qFormat/>
    <w:uiPriority w:val="0"/>
    <w:rPr>
      <w:rFonts w:ascii="宋体"/>
      <w:sz w:val="18"/>
      <w:szCs w:val="18"/>
    </w:rPr>
  </w:style>
  <w:style w:type="paragraph" w:styleId="7">
    <w:name w:val="annotation text"/>
    <w:basedOn w:val="1"/>
    <w:link w:val="19"/>
    <w:qFormat/>
    <w:uiPriority w:val="0"/>
    <w:pPr>
      <w:jc w:val="left"/>
    </w:pPr>
  </w:style>
  <w:style w:type="paragraph" w:styleId="8">
    <w:name w:val="Plain Text"/>
    <w:basedOn w:val="1"/>
    <w:link w:val="23"/>
    <w:unhideWhenUsed/>
    <w:qFormat/>
    <w:uiPriority w:val="0"/>
    <w:rPr>
      <w:rFonts w:ascii="宋体" w:hAnsi="Courier New" w:eastAsiaTheme="minorEastAsia" w:cstheme="minorBidi"/>
      <w:szCs w:val="20"/>
    </w:rPr>
  </w:style>
  <w:style w:type="paragraph" w:styleId="9">
    <w:name w:val="Balloon Text"/>
    <w:basedOn w:val="1"/>
    <w:link w:val="22"/>
    <w:qFormat/>
    <w:uiPriority w:val="0"/>
    <w:rPr>
      <w:sz w:val="18"/>
      <w:szCs w:val="18"/>
    </w:rPr>
  </w:style>
  <w:style w:type="paragraph" w:styleId="10">
    <w:name w:val="footer"/>
    <w:basedOn w:val="1"/>
    <w:link w:val="18"/>
    <w:qFormat/>
    <w:uiPriority w:val="0"/>
    <w:pPr>
      <w:tabs>
        <w:tab w:val="center" w:pos="4153"/>
        <w:tab w:val="right" w:pos="8306"/>
      </w:tabs>
      <w:snapToGrid w:val="0"/>
      <w:jc w:val="left"/>
    </w:pPr>
    <w:rPr>
      <w:sz w:val="18"/>
      <w:szCs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3">
    <w:name w:val="annotation subject"/>
    <w:basedOn w:val="7"/>
    <w:next w:val="7"/>
    <w:link w:val="20"/>
    <w:qFormat/>
    <w:uiPriority w:val="0"/>
    <w:rPr>
      <w:b/>
      <w:bCs/>
    </w:rPr>
  </w:style>
  <w:style w:type="character" w:styleId="16">
    <w:name w:val="annotation reference"/>
    <w:basedOn w:val="15"/>
    <w:qFormat/>
    <w:uiPriority w:val="0"/>
    <w:rPr>
      <w:sz w:val="21"/>
      <w:szCs w:val="21"/>
    </w:rPr>
  </w:style>
  <w:style w:type="character" w:customStyle="1" w:styleId="17">
    <w:name w:val="页眉 字符"/>
    <w:basedOn w:val="15"/>
    <w:link w:val="11"/>
    <w:qFormat/>
    <w:uiPriority w:val="0"/>
    <w:rPr>
      <w:rFonts w:ascii="Times New Roman" w:hAnsi="Times New Roman" w:eastAsia="宋体" w:cs="宋体"/>
      <w:kern w:val="2"/>
      <w:sz w:val="18"/>
      <w:szCs w:val="18"/>
    </w:rPr>
  </w:style>
  <w:style w:type="character" w:customStyle="1" w:styleId="18">
    <w:name w:val="页脚 字符"/>
    <w:basedOn w:val="15"/>
    <w:link w:val="10"/>
    <w:qFormat/>
    <w:uiPriority w:val="0"/>
    <w:rPr>
      <w:rFonts w:ascii="Times New Roman" w:hAnsi="Times New Roman" w:eastAsia="宋体" w:cs="宋体"/>
      <w:kern w:val="2"/>
      <w:sz w:val="18"/>
      <w:szCs w:val="18"/>
    </w:rPr>
  </w:style>
  <w:style w:type="character" w:customStyle="1" w:styleId="19">
    <w:name w:val="批注文字 字符"/>
    <w:basedOn w:val="15"/>
    <w:link w:val="7"/>
    <w:qFormat/>
    <w:uiPriority w:val="0"/>
    <w:rPr>
      <w:rFonts w:ascii="Times New Roman" w:hAnsi="Times New Roman" w:eastAsia="宋体" w:cs="宋体"/>
      <w:kern w:val="2"/>
      <w:sz w:val="21"/>
      <w:szCs w:val="24"/>
    </w:rPr>
  </w:style>
  <w:style w:type="character" w:customStyle="1" w:styleId="20">
    <w:name w:val="批注主题 字符"/>
    <w:basedOn w:val="19"/>
    <w:link w:val="13"/>
    <w:qFormat/>
    <w:uiPriority w:val="0"/>
    <w:rPr>
      <w:rFonts w:ascii="Times New Roman" w:hAnsi="Times New Roman" w:eastAsia="宋体" w:cs="宋体"/>
      <w:b/>
      <w:bCs/>
      <w:kern w:val="2"/>
      <w:sz w:val="21"/>
      <w:szCs w:val="24"/>
    </w:rPr>
  </w:style>
  <w:style w:type="paragraph" w:customStyle="1" w:styleId="21">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2">
    <w:name w:val="批注框文本 字符"/>
    <w:basedOn w:val="15"/>
    <w:link w:val="9"/>
    <w:qFormat/>
    <w:uiPriority w:val="0"/>
    <w:rPr>
      <w:rFonts w:ascii="Times New Roman" w:hAnsi="Times New Roman" w:eastAsia="宋体" w:cs="宋体"/>
      <w:kern w:val="2"/>
      <w:sz w:val="18"/>
      <w:szCs w:val="18"/>
    </w:rPr>
  </w:style>
  <w:style w:type="character" w:customStyle="1" w:styleId="23">
    <w:name w:val="纯文本 字符1"/>
    <w:link w:val="8"/>
    <w:qFormat/>
    <w:uiPriority w:val="0"/>
    <w:rPr>
      <w:rFonts w:ascii="宋体" w:hAnsi="Courier New"/>
      <w:kern w:val="2"/>
      <w:sz w:val="21"/>
    </w:rPr>
  </w:style>
  <w:style w:type="character" w:customStyle="1" w:styleId="24">
    <w:name w:val="纯文本 字符"/>
    <w:basedOn w:val="15"/>
    <w:qFormat/>
    <w:uiPriority w:val="0"/>
    <w:rPr>
      <w:rFonts w:hAnsi="Courier New" w:cs="Courier New" w:asciiTheme="minorEastAsia"/>
      <w:kern w:val="2"/>
      <w:sz w:val="21"/>
      <w:szCs w:val="24"/>
    </w:rPr>
  </w:style>
  <w:style w:type="paragraph" w:customStyle="1" w:styleId="25">
    <w:name w:val="中等深浅网格 1 - 强调文字颜色 21"/>
    <w:basedOn w:val="1"/>
    <w:qFormat/>
    <w:uiPriority w:val="34"/>
    <w:pPr>
      <w:ind w:firstLine="420" w:firstLineChars="200"/>
    </w:pPr>
    <w:rPr>
      <w:rFonts w:ascii="Calibri" w:hAnsi="Calibri" w:cs="Times New Roman"/>
      <w:szCs w:val="22"/>
    </w:rPr>
  </w:style>
  <w:style w:type="paragraph" w:styleId="26">
    <w:name w:val="List Paragraph"/>
    <w:basedOn w:val="1"/>
    <w:qFormat/>
    <w:uiPriority w:val="34"/>
    <w:pPr>
      <w:ind w:firstLine="420" w:firstLineChars="200"/>
    </w:pPr>
    <w:rPr>
      <w:rFonts w:ascii="Calibri" w:hAnsi="Calibri" w:cs="Times New Roman"/>
      <w:szCs w:val="22"/>
    </w:rPr>
  </w:style>
  <w:style w:type="character" w:customStyle="1" w:styleId="27">
    <w:name w:val="文档结构图 字符"/>
    <w:basedOn w:val="15"/>
    <w:link w:val="6"/>
    <w:qFormat/>
    <w:uiPriority w:val="0"/>
    <w:rPr>
      <w:rFonts w:ascii="宋体" w:hAnsi="Times New Roman" w:eastAsia="宋体" w:cs="宋体"/>
      <w:kern w:val="2"/>
      <w:sz w:val="18"/>
      <w:szCs w:val="18"/>
    </w:rPr>
  </w:style>
  <w:style w:type="character" w:customStyle="1" w:styleId="28">
    <w:name w:val="NormalCharacter"/>
    <w:semiHidden/>
    <w:qFormat/>
    <w:uiPriority w:val="0"/>
  </w:style>
  <w:style w:type="paragraph" w:customStyle="1" w:styleId="2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_Style 26"/>
    <w:basedOn w:val="1"/>
    <w:next w:val="26"/>
    <w:qFormat/>
    <w:uiPriority w:val="34"/>
    <w:pPr>
      <w:ind w:firstLine="420" w:firstLineChars="200"/>
    </w:pPr>
    <w:rPr>
      <w:rFonts w:cs="Times New Roman"/>
    </w:rPr>
  </w:style>
  <w:style w:type="character" w:customStyle="1" w:styleId="32">
    <w:name w:val="font31"/>
    <w:qFormat/>
    <w:uiPriority w:val="0"/>
    <w:rPr>
      <w:rFonts w:hint="eastAsia" w:ascii="宋体" w:hAnsi="宋体" w:eastAsia="宋体" w:cs="宋体"/>
      <w:color w:val="000000"/>
      <w:sz w:val="24"/>
      <w:szCs w:val="24"/>
      <w:u w:val="none"/>
    </w:rPr>
  </w:style>
  <w:style w:type="character" w:customStyle="1" w:styleId="33">
    <w:name w:val="font11"/>
    <w:qFormat/>
    <w:uiPriority w:val="0"/>
    <w:rPr>
      <w:rFonts w:hint="default" w:ascii="Times New Roman" w:hAnsi="Times New Roman" w:cs="Times New Roman"/>
      <w:color w:val="000000"/>
      <w:sz w:val="24"/>
      <w:szCs w:val="24"/>
      <w:u w:val="none"/>
    </w:rPr>
  </w:style>
  <w:style w:type="character" w:customStyle="1" w:styleId="34">
    <w:name w:val="标题 3 字符"/>
    <w:basedOn w:val="15"/>
    <w:semiHidden/>
    <w:qFormat/>
    <w:uiPriority w:val="0"/>
    <w:rPr>
      <w:rFonts w:ascii="Times New Roman" w:hAnsi="Times New Roman" w:eastAsia="宋体" w:cs="宋体"/>
      <w:b/>
      <w:bCs/>
      <w:kern w:val="2"/>
      <w:sz w:val="32"/>
      <w:szCs w:val="32"/>
    </w:rPr>
  </w:style>
  <w:style w:type="character" w:customStyle="1" w:styleId="35">
    <w:name w:val="标题 3 字符1"/>
    <w:link w:val="4"/>
    <w:qFormat/>
    <w:uiPriority w:val="0"/>
    <w:rPr>
      <w:rFonts w:ascii="Calibri" w:hAnsi="Calibri" w:eastAsia="宋体" w:cs="Times New Roman"/>
      <w:b/>
      <w:bCs/>
      <w:kern w:val="2"/>
      <w:sz w:val="28"/>
      <w:szCs w:val="32"/>
    </w:rPr>
  </w:style>
  <w:style w:type="paragraph" w:customStyle="1" w:styleId="36">
    <w:name w:val="列出段落1"/>
    <w:basedOn w:val="1"/>
    <w:qFormat/>
    <w:uiPriority w:val="34"/>
    <w:pPr>
      <w:ind w:firstLine="420" w:firstLineChars="200"/>
    </w:pPr>
    <w:rPr>
      <w:rFonts w:ascii="Calibri" w:hAnsi="Calibri" w:cs="Times New Roman"/>
    </w:rPr>
  </w:style>
  <w:style w:type="character" w:customStyle="1" w:styleId="37">
    <w:name w:val="font61"/>
    <w:basedOn w:val="15"/>
    <w:qFormat/>
    <w:uiPriority w:val="0"/>
    <w:rPr>
      <w:rFonts w:hint="default" w:ascii="幼圆" w:hAnsi="幼圆" w:eastAsia="幼圆" w:cs="幼圆"/>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2</Pages>
  <Words>632</Words>
  <Characters>678</Characters>
  <Lines>14</Lines>
  <Paragraphs>4</Paragraphs>
  <TotalTime>5</TotalTime>
  <ScaleCrop>false</ScaleCrop>
  <LinksUpToDate>false</LinksUpToDate>
  <CharactersWithSpaces>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2023-01-17T01:58:50Z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A9967F2B76474F9BBA20C4E9C2D027BA</vt:lpwstr>
  </property>
</Properties>
</file>