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黑体"/>
          <w:snapToGrid w:val="0"/>
          <w:sz w:val="24"/>
        </w:rPr>
      </w:pPr>
      <w:r>
        <w:rPr>
          <w:rFonts w:hint="eastAsia" w:ascii="宋体" w:hAnsi="宋体" w:cs="黑体"/>
          <w:snapToGrid w:val="0"/>
          <w:sz w:val="24"/>
        </w:rPr>
        <w:t>公告附件：</w:t>
      </w:r>
    </w:p>
    <w:tbl>
      <w:tblPr>
        <w:tblStyle w:val="14"/>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93"/>
        <w:gridCol w:w="351"/>
        <w:gridCol w:w="573"/>
        <w:gridCol w:w="1627"/>
        <w:gridCol w:w="1962"/>
        <w:gridCol w:w="1839"/>
        <w:gridCol w:w="1727"/>
        <w:gridCol w:w="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bookmarkStart w:id="0" w:name="_Hlk98601959"/>
            <w:bookmarkStart w:id="1" w:name="_Hlk50096648"/>
            <w:r>
              <w:rPr>
                <w:rFonts w:hint="eastAsia" w:ascii="宋体" w:hAnsi="宋体" w:eastAsia="宋体" w:cs="宋体"/>
                <w:sz w:val="24"/>
                <w:szCs w:val="24"/>
              </w:rPr>
              <w:t>项目编号</w:t>
            </w:r>
          </w:p>
        </w:tc>
        <w:tc>
          <w:tcPr>
            <w:tcW w:w="7737" w:type="dxa"/>
            <w:gridSpan w:val="7"/>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2022-JK15-W144</w:t>
            </w:r>
            <w:r>
              <w:rPr>
                <w:rFonts w:hint="eastAsia" w:ascii="宋体" w:hAnsi="宋体" w:eastAsia="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737" w:type="dxa"/>
            <w:gridSpan w:val="7"/>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医疗</w:t>
            </w:r>
            <w:r>
              <w:rPr>
                <w:rFonts w:hint="eastAsia" w:ascii="宋体" w:hAnsi="宋体" w:cs="宋体"/>
                <w:sz w:val="24"/>
                <w:szCs w:val="24"/>
                <w:lang w:val="en-US" w:eastAsia="zh-CN"/>
              </w:rPr>
              <w:t>**</w:t>
            </w:r>
            <w:bookmarkStart w:id="2" w:name="_GoBack"/>
            <w:bookmarkEnd w:id="2"/>
            <w:r>
              <w:rPr>
                <w:rFonts w:hint="eastAsia" w:ascii="宋体" w:hAnsi="宋体" w:eastAsia="宋体" w:cs="宋体"/>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2200" w:type="dxa"/>
            <w:gridSpan w:val="2"/>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5537" w:type="dxa"/>
            <w:gridSpan w:val="5"/>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转运呼吸机和心电除颤监护仪进口</w:t>
            </w:r>
          </w:p>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心肺复苏器国产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最高投标限价</w:t>
            </w:r>
          </w:p>
        </w:tc>
        <w:tc>
          <w:tcPr>
            <w:tcW w:w="7737" w:type="dxa"/>
            <w:gridSpan w:val="7"/>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81</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10"/>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b/>
                <w:sz w:val="24"/>
                <w:szCs w:val="24"/>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10"/>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急救与重症转运呼吸机是电动电控型转运呼吸机，用于院内、院前患者在航空转运过程中的通气支持；心电除颤监护仪采用低能量双相波除颤技术，40ms恒流起搏技术，具备CPR反馈和CPR滤波功能，同时具备无创血氧血压功能，能够代替常规监护功能，可以满足航空转运需求；心肺复苏器可满足航空转运过程中对无自主呼吸和心跳病人实施机械心肺复苏术的需求</w:t>
            </w:r>
            <w:r>
              <w:rPr>
                <w:rFonts w:hint="eastAsia" w:ascii="宋体" w:hAnsi="宋体" w:eastAsia="宋体" w:cs="宋体"/>
                <w:sz w:val="24"/>
                <w:szCs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7" w:type="dxa"/>
            <w:gridSpan w:val="1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sz w:val="24"/>
                <w:szCs w:val="24"/>
              </w:rPr>
            </w:pPr>
            <w:r>
              <w:rPr>
                <w:rFonts w:hint="eastAsia" w:ascii="宋体" w:hAnsi="宋体" w:eastAsia="宋体" w:cs="宋体"/>
                <w:b/>
                <w:sz w:val="24"/>
                <w:szCs w:val="24"/>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4513" w:type="dxa"/>
            <w:gridSpan w:val="4"/>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lang w:val="en-US" w:eastAsia="zh-CN"/>
              </w:rPr>
              <w:t>名称</w:t>
            </w:r>
          </w:p>
        </w:tc>
        <w:tc>
          <w:tcPr>
            <w:tcW w:w="1839"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数量</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1</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rPr>
              <w:t>急救与重症转运呼吸机</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rPr>
              <w:t>1</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1.1</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呼吸机主机</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交流电源适配器</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1.3</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高压氧气管</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1.4</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重复用病人管路</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1.5</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一次性使用呼吸管路</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1.6</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无创通气口鼻面罩</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6" w:type="dxa"/>
            <w:gridSpan w:val="3"/>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1.7</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氧气减压阀</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模拟肺</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便携包</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1.10</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电池</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2</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心电除颤监护仪</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rPr>
              <w:t>套</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除颤仪主机</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成人、儿童一体化体外除颤板</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12导心电导联线</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重复性充电电池</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成人血压袖带</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血压袖带延长管</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血氧饱和度探头</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血氧饱和度延长线</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2.9</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背包</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2.10</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呼末二氧化碳监测套件</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3</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心肺复苏器</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sz w:val="24"/>
                <w:szCs w:val="24"/>
              </w:rPr>
              <w:t>套</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3.1</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心肺复苏主机</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3.2</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电源适配器</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3.3</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充电电池</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3.4</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胸腔按压组件</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3.5</w:t>
            </w:r>
          </w:p>
        </w:tc>
        <w:tc>
          <w:tcPr>
            <w:tcW w:w="4513"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背包</w:t>
            </w:r>
          </w:p>
        </w:tc>
        <w:tc>
          <w:tcPr>
            <w:tcW w:w="183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730" w:type="dxa"/>
            <w:gridSpan w:val="2"/>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个</w:t>
            </w:r>
          </w:p>
        </w:tc>
        <w:tc>
          <w:tcPr>
            <w:tcW w:w="0" w:type="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9848" w:type="dxa"/>
            <w:gridSpan w:val="8"/>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b/>
                <w:sz w:val="24"/>
                <w:szCs w:val="24"/>
              </w:rPr>
              <w:t>急救与重症转运呼吸机技术参数要求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指标名称</w:t>
            </w:r>
          </w:p>
        </w:tc>
        <w:tc>
          <w:tcPr>
            <w:tcW w:w="7155" w:type="dxa"/>
            <w:gridSpan w:val="4"/>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★动力模式</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电动电控模式，在标准成人设置下，单块电池供电时间不小于10小时。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#具备功能</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呼吸机主机具备血氧饱和度监测，可直观判断病人氧合情况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#重量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轻巧便携，整机重量≤5公斤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患者适用范围</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5Kg以上儿童至成人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工作模式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有创和无创功能，具有漏气补偿功能，有窒息后备通气功能，BLS辅助快速方案，高级气道快速方案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呼吸模式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A/C，SIMV, SIMV/PS,  CPAP，CPAP(NPPV/PPV)/PS，窒息后备通气，手动触发呼吸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#7</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供气方式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内置空压机独立供气，可外接高压和低压氧气源，或者空气。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呼吸频率</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1~60次/分钟可调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潮气量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50~1500ml可调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吸呼比</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可调1:1~1:99.9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PEEP</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0~25cmH2O可调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触发灵敏度</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-0.5~ -6.0cmH2O (-49~-588Pa)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13</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sz w:val="24"/>
                <w:szCs w:val="24"/>
              </w:rPr>
              <w:t>防护标准</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可防生物/化学毒物；防细菌/病毒污染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14</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防尘防水标准</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IPX4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★15</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适航</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具备适航认证，满足空中转运需求。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9848" w:type="dxa"/>
            <w:gridSpan w:val="8"/>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心电除颤监护仪技术参数要求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#除颤技术</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低能量双相方波除颤技术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★除颤能量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最大能量≤300焦耳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#起搏技术</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采用40ms恒流方波技术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起搏模式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具备按需模式和固定模式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#CPR反馈技术</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具备符合2015AHA指南的实时按压反馈功能，能实时监测操作者的CPR深度和频率，并在屏幕上图标显示结果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#心电透视功能</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CPR滤波功能，在不停止CPR的前提下实时观察病人真实的心电图形，从而提高按压分数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7</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无创血氧监测</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具备无创血氧监测技术，强光下测量精准，抗干扰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#无创血压监测</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具备双管回路快速血压测量功能，15s内出具测量结果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#ETCO2</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具备微流式ETCO2监测功能，满足不同情况下，从新生儿到成人的各类患者的ETCO2采集和监测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#12导心电监护</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具备诊断级12导心电监护，可出具12导联心电图报告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防水</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具备IP55级或以上的防尘防水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12</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抗震</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具备1.5米以上的抗震跌落试验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13</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★适航证</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具备适航证，满足航空转运需求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14</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#电池</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配两块电池，可充电电池监护状态下可运行不少于5小时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9848" w:type="dxa"/>
            <w:gridSpan w:val="8"/>
            <w:vAlign w:val="center"/>
          </w:tcPr>
          <w:p>
            <w:pPr>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sz w:val="24"/>
                <w:szCs w:val="24"/>
              </w:rPr>
              <w:t>心肺复苏器技术参数要求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w:t>
            </w:r>
            <w:r>
              <w:rPr>
                <w:rFonts w:hint="eastAsia" w:ascii="宋体" w:hAnsi="宋体" w:eastAsia="宋体" w:cs="宋体"/>
                <w:bCs/>
                <w:sz w:val="24"/>
                <w:szCs w:val="24"/>
              </w:rPr>
              <w:t>动力系统</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全电动电控机型，可配合除颤仪同步治疗。可在救护车高氧环境中安全使用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Hans" w:bidi="ar-SA"/>
              </w:rPr>
            </w:pPr>
            <w:r>
              <w:rPr>
                <w:rFonts w:hint="eastAsia" w:ascii="宋体" w:hAnsi="宋体" w:eastAsia="宋体" w:cs="宋体"/>
                <w:sz w:val="24"/>
                <w:szCs w:val="24"/>
              </w:rPr>
              <w:t>#防电击保护等级</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防除颤CF型，提供检测报告证明文件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w:t>
            </w:r>
            <w:r>
              <w:rPr>
                <w:rFonts w:hint="eastAsia" w:ascii="宋体" w:hAnsi="宋体" w:eastAsia="宋体" w:cs="宋体"/>
                <w:bCs/>
                <w:sz w:val="24"/>
                <w:szCs w:val="24"/>
              </w:rPr>
              <w:t>按压方式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采用结合胸泵和心泵机制的3D按压或负荷分布式按压方式，减少复苏过程引起的损伤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bCs/>
                <w:sz w:val="24"/>
                <w:szCs w:val="24"/>
              </w:rPr>
              <w:t>按压模式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30∶2及连续按压模式。胸廓立体按压，无骨折风险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bCs/>
                <w:sz w:val="24"/>
                <w:szCs w:val="24"/>
              </w:rPr>
              <w:t>按压频率可调</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按压频率在100-120次/分钟内连续可调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Cs/>
                <w:kern w:val="2"/>
                <w:sz w:val="24"/>
                <w:szCs w:val="24"/>
                <w:lang w:val="en-US" w:eastAsia="zh-Hans" w:bidi="ar-SA"/>
              </w:rPr>
            </w:pPr>
            <w:r>
              <w:rPr>
                <w:rFonts w:hint="eastAsia" w:ascii="宋体" w:hAnsi="宋体" w:eastAsia="宋体" w:cs="宋体"/>
                <w:bCs/>
                <w:sz w:val="24"/>
                <w:szCs w:val="24"/>
              </w:rPr>
              <w:t>按压深度可调</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按压深度在3.0-5.5厘米内连续可调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7</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w:t>
            </w:r>
            <w:r>
              <w:rPr>
                <w:rFonts w:hint="eastAsia" w:ascii="宋体" w:hAnsi="宋体" w:eastAsia="宋体" w:cs="宋体"/>
                <w:bCs/>
                <w:sz w:val="24"/>
                <w:szCs w:val="24"/>
              </w:rPr>
              <w:t>支持非水平按压</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转运的过程中能不间断复苏治疗，</w:t>
            </w:r>
            <w:r>
              <w:rPr>
                <w:rFonts w:hint="eastAsia" w:ascii="宋体" w:hAnsi="宋体" w:eastAsia="宋体" w:cs="宋体"/>
                <w:sz w:val="24"/>
                <w:szCs w:val="24"/>
              </w:rPr>
              <w:t>最大工作倾斜度≥42°，</w:t>
            </w:r>
            <w:r>
              <w:rPr>
                <w:rFonts w:hint="eastAsia" w:ascii="宋体" w:hAnsi="宋体" w:eastAsia="宋体" w:cs="宋体"/>
                <w:bCs/>
                <w:sz w:val="24"/>
                <w:szCs w:val="24"/>
              </w:rPr>
              <w:t>在不中断按压情况下可上下楼梯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bCs/>
                <w:sz w:val="24"/>
                <w:szCs w:val="24"/>
              </w:rPr>
              <w:t>按压舒张周期</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胸腔按压期与胸廓舒张期的时间比：1∶1；误差≤±5%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9</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w:t>
            </w:r>
            <w:r>
              <w:rPr>
                <w:rFonts w:hint="eastAsia" w:ascii="宋体" w:hAnsi="宋体" w:eastAsia="宋体" w:cs="宋体"/>
                <w:bCs/>
                <w:sz w:val="24"/>
                <w:szCs w:val="24"/>
              </w:rPr>
              <w:t>电池</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标配可显示电量锂电池，容量大于等于30分钟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整机重量</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≦10千克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Hans" w:bidi="ar-SA"/>
              </w:rPr>
            </w:pPr>
            <w:r>
              <w:rPr>
                <w:rFonts w:hint="eastAsia" w:ascii="宋体" w:hAnsi="宋体" w:eastAsia="宋体" w:cs="宋体"/>
                <w:sz w:val="24"/>
                <w:szCs w:val="24"/>
              </w:rPr>
              <w:t>★适航证</w:t>
            </w:r>
          </w:p>
        </w:tc>
        <w:tc>
          <w:tcPr>
            <w:tcW w:w="7155" w:type="dxa"/>
            <w:gridSpan w:val="4"/>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具备适航认证，满足空中转运需求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9848" w:type="dxa"/>
            <w:gridSpan w:val="8"/>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服务要求</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包装严密、产品配备专用工具，货到调试完成付至95%，余5%质保金一年后产品无任何问题无息付清。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质保期</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质保不少于3年。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备件库</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西安有备件库。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维修站</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西安有维修站。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收费标准</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提供质保期外配件及维修价格优惠情况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培训支持</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供应商</w:t>
            </w:r>
            <w:r>
              <w:rPr>
                <w:rFonts w:hint="eastAsia" w:ascii="宋体" w:hAnsi="宋体" w:eastAsia="宋体" w:cs="宋体"/>
                <w:sz w:val="24"/>
                <w:szCs w:val="24"/>
              </w:rPr>
              <w:t>有专业的售后部门，在设备发到用户后，</w:t>
            </w:r>
            <w:r>
              <w:rPr>
                <w:rFonts w:hint="eastAsia" w:ascii="宋体" w:hAnsi="宋体" w:cs="宋体"/>
                <w:sz w:val="24"/>
                <w:szCs w:val="24"/>
                <w:lang w:val="en-US" w:eastAsia="zh-CN"/>
              </w:rPr>
              <w:t>供应商</w:t>
            </w:r>
            <w:r>
              <w:rPr>
                <w:rFonts w:hint="eastAsia" w:ascii="宋体" w:hAnsi="宋体" w:eastAsia="宋体" w:cs="宋体"/>
                <w:sz w:val="24"/>
                <w:szCs w:val="24"/>
              </w:rPr>
              <w:t>的售后服务小组到用户处，进行现场的使用、维修等方面的系统培训，直到用户掌握设备的使用及维护；</w:t>
            </w:r>
          </w:p>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2.在产品的寿命周期内，由</w:t>
            </w:r>
            <w:r>
              <w:rPr>
                <w:rFonts w:hint="eastAsia" w:ascii="宋体" w:hAnsi="宋体" w:cs="宋体"/>
                <w:sz w:val="24"/>
                <w:szCs w:val="24"/>
                <w:lang w:val="en-US" w:eastAsia="zh-CN"/>
              </w:rPr>
              <w:t>供应商</w:t>
            </w:r>
            <w:r>
              <w:rPr>
                <w:rFonts w:hint="eastAsia" w:ascii="宋体" w:hAnsi="宋体" w:eastAsia="宋体" w:cs="宋体"/>
                <w:sz w:val="24"/>
                <w:szCs w:val="24"/>
              </w:rPr>
              <w:t>的售后服务人员对产品的使用情况定期进行回访，用户在使用中遇到任何与产品相关问题，</w:t>
            </w:r>
            <w:r>
              <w:rPr>
                <w:rFonts w:hint="eastAsia" w:ascii="宋体" w:hAnsi="宋体" w:cs="宋体"/>
                <w:sz w:val="24"/>
                <w:szCs w:val="24"/>
                <w:lang w:val="en-US" w:eastAsia="zh-CN"/>
              </w:rPr>
              <w:t>供应商</w:t>
            </w:r>
            <w:r>
              <w:rPr>
                <w:rFonts w:hint="eastAsia" w:ascii="宋体" w:hAnsi="宋体" w:eastAsia="宋体" w:cs="宋体"/>
                <w:sz w:val="24"/>
                <w:szCs w:val="24"/>
              </w:rPr>
              <w:t>积极配合，及时为用户提供技术支持。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维修响应</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4小时响应，24小时提供解决方案。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 w:type="dxa"/>
          <w:trHeight w:val="454" w:hRule="atLeast"/>
          <w:jc w:val="center"/>
        </w:trPr>
        <w:tc>
          <w:tcPr>
            <w:tcW w:w="776"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17" w:type="dxa"/>
            <w:gridSpan w:val="3"/>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rPr>
              <w:t>到货时间</w:t>
            </w:r>
          </w:p>
        </w:tc>
        <w:tc>
          <w:tcPr>
            <w:tcW w:w="7155" w:type="dxa"/>
            <w:gridSpan w:val="4"/>
            <w:vAlign w:val="center"/>
          </w:tcPr>
          <w:p>
            <w:pPr>
              <w:pStyle w:val="2"/>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合同签订后30日内。地点以需求方要求为准。</w:t>
            </w:r>
          </w:p>
        </w:tc>
      </w:tr>
      <w:bookmarkEnd w:id="0"/>
    </w:tbl>
    <w:p>
      <w:pPr>
        <w:widowControl/>
        <w:jc w:val="left"/>
        <w:rPr>
          <w:rFonts w:ascii="宋体" w:hAnsi="宋体"/>
          <w:sz w:val="24"/>
        </w:rPr>
      </w:pPr>
      <w:r>
        <w:rPr>
          <w:rFonts w:hint="eastAsia" w:ascii="宋体" w:hAnsi="宋体"/>
          <w:sz w:val="24"/>
        </w:rPr>
        <w:t>说明：功能要求、配置清单为必备要求，从功能角度提出；技术参数体现设备档次要求，参数中区分“★”、“＃”参数，其中“★”参数为核心参数，为必须满足参数；“＃”参数为重要参数，在采购评审中分值较高。一般技术指标参数不作标记。</w:t>
      </w:r>
    </w:p>
    <w:bookmarkEnd w:id="1"/>
    <w:p>
      <w:pPr>
        <w:widowControl/>
        <w:jc w:val="left"/>
        <w:rPr>
          <w:rFonts w:ascii="宋体" w:hAnsi="宋体" w:cs="黑体"/>
          <w:snapToGrid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E2926"/>
    <w:multiLevelType w:val="multilevel"/>
    <w:tmpl w:val="564E29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pStyle w:val="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mODVmYWJjNTE0ZWMyODQ3YjU3MTllODU2MmIwNGUifQ=="/>
  </w:docVars>
  <w:rsids>
    <w:rsidRoot w:val="19A15E62"/>
    <w:rsid w:val="00046163"/>
    <w:rsid w:val="000545FE"/>
    <w:rsid w:val="00062C9C"/>
    <w:rsid w:val="00094C83"/>
    <w:rsid w:val="000A384B"/>
    <w:rsid w:val="000C3A2F"/>
    <w:rsid w:val="000C6484"/>
    <w:rsid w:val="000E5CA4"/>
    <w:rsid w:val="001042B8"/>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96357"/>
    <w:rsid w:val="002B40AE"/>
    <w:rsid w:val="002C21FA"/>
    <w:rsid w:val="002C4BC4"/>
    <w:rsid w:val="003151D7"/>
    <w:rsid w:val="003250CD"/>
    <w:rsid w:val="00344E7A"/>
    <w:rsid w:val="003526D5"/>
    <w:rsid w:val="00361D23"/>
    <w:rsid w:val="003A3ABE"/>
    <w:rsid w:val="003A77C9"/>
    <w:rsid w:val="003C04BD"/>
    <w:rsid w:val="003C0D17"/>
    <w:rsid w:val="003C1FAC"/>
    <w:rsid w:val="00415F46"/>
    <w:rsid w:val="00434A75"/>
    <w:rsid w:val="004432F1"/>
    <w:rsid w:val="00465054"/>
    <w:rsid w:val="00472BFD"/>
    <w:rsid w:val="00480E1E"/>
    <w:rsid w:val="00486784"/>
    <w:rsid w:val="004A675A"/>
    <w:rsid w:val="004B3E73"/>
    <w:rsid w:val="004B5D66"/>
    <w:rsid w:val="004C37F8"/>
    <w:rsid w:val="004D21DD"/>
    <w:rsid w:val="004E7B7D"/>
    <w:rsid w:val="00502B07"/>
    <w:rsid w:val="0050461A"/>
    <w:rsid w:val="00532C52"/>
    <w:rsid w:val="00540256"/>
    <w:rsid w:val="00576DCF"/>
    <w:rsid w:val="00580FC7"/>
    <w:rsid w:val="00581A2E"/>
    <w:rsid w:val="005C1886"/>
    <w:rsid w:val="00603E75"/>
    <w:rsid w:val="00605788"/>
    <w:rsid w:val="00605842"/>
    <w:rsid w:val="00612084"/>
    <w:rsid w:val="0064153B"/>
    <w:rsid w:val="00644F13"/>
    <w:rsid w:val="006464E9"/>
    <w:rsid w:val="00671C60"/>
    <w:rsid w:val="00682485"/>
    <w:rsid w:val="006C75FB"/>
    <w:rsid w:val="006D71A6"/>
    <w:rsid w:val="00725A54"/>
    <w:rsid w:val="0073745C"/>
    <w:rsid w:val="0074369E"/>
    <w:rsid w:val="007500D7"/>
    <w:rsid w:val="00776C3E"/>
    <w:rsid w:val="00790D63"/>
    <w:rsid w:val="007975BA"/>
    <w:rsid w:val="007C061A"/>
    <w:rsid w:val="007D147D"/>
    <w:rsid w:val="007D37E2"/>
    <w:rsid w:val="007D6AA8"/>
    <w:rsid w:val="007E2DAD"/>
    <w:rsid w:val="007F4F99"/>
    <w:rsid w:val="008025C6"/>
    <w:rsid w:val="00815EDB"/>
    <w:rsid w:val="00826E11"/>
    <w:rsid w:val="0082728A"/>
    <w:rsid w:val="0083233E"/>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506CE"/>
    <w:rsid w:val="009B4794"/>
    <w:rsid w:val="009C5AD1"/>
    <w:rsid w:val="009D4E32"/>
    <w:rsid w:val="009E3452"/>
    <w:rsid w:val="00A011B6"/>
    <w:rsid w:val="00A02CAD"/>
    <w:rsid w:val="00A17223"/>
    <w:rsid w:val="00A25852"/>
    <w:rsid w:val="00A33D6F"/>
    <w:rsid w:val="00A4142E"/>
    <w:rsid w:val="00A579E1"/>
    <w:rsid w:val="00A64A4D"/>
    <w:rsid w:val="00A76416"/>
    <w:rsid w:val="00A95588"/>
    <w:rsid w:val="00A97192"/>
    <w:rsid w:val="00AA6CA3"/>
    <w:rsid w:val="00AC023F"/>
    <w:rsid w:val="00AC2FEC"/>
    <w:rsid w:val="00AC3F59"/>
    <w:rsid w:val="00AD70DA"/>
    <w:rsid w:val="00AD75E3"/>
    <w:rsid w:val="00B05F70"/>
    <w:rsid w:val="00B22D2F"/>
    <w:rsid w:val="00B46DCB"/>
    <w:rsid w:val="00B4737F"/>
    <w:rsid w:val="00B52870"/>
    <w:rsid w:val="00B57386"/>
    <w:rsid w:val="00B7345A"/>
    <w:rsid w:val="00B853D8"/>
    <w:rsid w:val="00B8795D"/>
    <w:rsid w:val="00BA7466"/>
    <w:rsid w:val="00BC19C8"/>
    <w:rsid w:val="00C021A2"/>
    <w:rsid w:val="00C0235F"/>
    <w:rsid w:val="00C20B05"/>
    <w:rsid w:val="00C26053"/>
    <w:rsid w:val="00C451A2"/>
    <w:rsid w:val="00C727AC"/>
    <w:rsid w:val="00C77FA6"/>
    <w:rsid w:val="00C91306"/>
    <w:rsid w:val="00CB4529"/>
    <w:rsid w:val="00CC08FC"/>
    <w:rsid w:val="00CF4071"/>
    <w:rsid w:val="00D25455"/>
    <w:rsid w:val="00D34E39"/>
    <w:rsid w:val="00D3534D"/>
    <w:rsid w:val="00D509BA"/>
    <w:rsid w:val="00D6649E"/>
    <w:rsid w:val="00D769DA"/>
    <w:rsid w:val="00D844E9"/>
    <w:rsid w:val="00DA3A8B"/>
    <w:rsid w:val="00DC5219"/>
    <w:rsid w:val="00E06986"/>
    <w:rsid w:val="00E07EED"/>
    <w:rsid w:val="00E1044C"/>
    <w:rsid w:val="00E33608"/>
    <w:rsid w:val="00E458BB"/>
    <w:rsid w:val="00E46234"/>
    <w:rsid w:val="00E466E8"/>
    <w:rsid w:val="00E80934"/>
    <w:rsid w:val="00E8381C"/>
    <w:rsid w:val="00EB61E8"/>
    <w:rsid w:val="00EE242E"/>
    <w:rsid w:val="00EE2CE1"/>
    <w:rsid w:val="00EE384E"/>
    <w:rsid w:val="00EF45B8"/>
    <w:rsid w:val="00F1160B"/>
    <w:rsid w:val="00F27A73"/>
    <w:rsid w:val="00F35A7B"/>
    <w:rsid w:val="00F705B7"/>
    <w:rsid w:val="00F81502"/>
    <w:rsid w:val="00F870C6"/>
    <w:rsid w:val="00FA1361"/>
    <w:rsid w:val="00FA17E7"/>
    <w:rsid w:val="00FA1DCC"/>
    <w:rsid w:val="00FA7DD0"/>
    <w:rsid w:val="00FD101E"/>
    <w:rsid w:val="00FD63B8"/>
    <w:rsid w:val="12224162"/>
    <w:rsid w:val="19A15E62"/>
    <w:rsid w:val="2B967919"/>
    <w:rsid w:val="34805709"/>
    <w:rsid w:val="54993799"/>
    <w:rsid w:val="5A2E0CF0"/>
    <w:rsid w:val="5DB5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3"/>
    <w:basedOn w:val="1"/>
    <w:next w:val="5"/>
    <w:link w:val="35"/>
    <w:qFormat/>
    <w:uiPriority w:val="0"/>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Indent"/>
    <w:basedOn w:val="1"/>
    <w:semiHidden/>
    <w:unhideWhenUsed/>
    <w:qFormat/>
    <w:uiPriority w:val="0"/>
    <w:pPr>
      <w:ind w:firstLine="420" w:firstLineChars="200"/>
    </w:pPr>
  </w:style>
  <w:style w:type="paragraph" w:styleId="6">
    <w:name w:val="Document Map"/>
    <w:basedOn w:val="1"/>
    <w:link w:val="27"/>
    <w:qFormat/>
    <w:uiPriority w:val="0"/>
    <w:rPr>
      <w:rFonts w:ascii="宋体"/>
      <w:sz w:val="18"/>
      <w:szCs w:val="18"/>
    </w:rPr>
  </w:style>
  <w:style w:type="paragraph" w:styleId="7">
    <w:name w:val="annotation text"/>
    <w:basedOn w:val="1"/>
    <w:link w:val="19"/>
    <w:qFormat/>
    <w:uiPriority w:val="0"/>
    <w:pPr>
      <w:jc w:val="left"/>
    </w:pPr>
  </w:style>
  <w:style w:type="paragraph" w:styleId="8">
    <w:name w:val="Plain Text"/>
    <w:basedOn w:val="1"/>
    <w:link w:val="23"/>
    <w:unhideWhenUsed/>
    <w:qFormat/>
    <w:uiPriority w:val="0"/>
    <w:rPr>
      <w:rFonts w:ascii="宋体" w:hAnsi="Courier New" w:eastAsiaTheme="minorEastAsia" w:cstheme="minorBidi"/>
      <w:szCs w:val="20"/>
    </w:rPr>
  </w:style>
  <w:style w:type="paragraph" w:styleId="9">
    <w:name w:val="Balloon Text"/>
    <w:basedOn w:val="1"/>
    <w:link w:val="22"/>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hint="eastAsia" w:ascii="宋体" w:hAnsi="宋体"/>
      <w:kern w:val="0"/>
      <w:sz w:val="24"/>
    </w:rPr>
  </w:style>
  <w:style w:type="paragraph" w:styleId="13">
    <w:name w:val="annotation subject"/>
    <w:basedOn w:val="7"/>
    <w:next w:val="7"/>
    <w:link w:val="20"/>
    <w:qFormat/>
    <w:uiPriority w:val="0"/>
    <w:rPr>
      <w:b/>
      <w:bCs/>
    </w:rPr>
  </w:style>
  <w:style w:type="character" w:styleId="16">
    <w:name w:val="annotation reference"/>
    <w:basedOn w:val="15"/>
    <w:qFormat/>
    <w:uiPriority w:val="0"/>
    <w:rPr>
      <w:sz w:val="21"/>
      <w:szCs w:val="21"/>
    </w:rPr>
  </w:style>
  <w:style w:type="character" w:customStyle="1" w:styleId="17">
    <w:name w:val="页眉 字符"/>
    <w:basedOn w:val="15"/>
    <w:link w:val="11"/>
    <w:qFormat/>
    <w:uiPriority w:val="0"/>
    <w:rPr>
      <w:rFonts w:ascii="Times New Roman" w:hAnsi="Times New Roman" w:eastAsia="宋体" w:cs="宋体"/>
      <w:kern w:val="2"/>
      <w:sz w:val="18"/>
      <w:szCs w:val="18"/>
    </w:rPr>
  </w:style>
  <w:style w:type="character" w:customStyle="1" w:styleId="18">
    <w:name w:val="页脚 字符"/>
    <w:basedOn w:val="15"/>
    <w:link w:val="10"/>
    <w:qFormat/>
    <w:uiPriority w:val="0"/>
    <w:rPr>
      <w:rFonts w:ascii="Times New Roman" w:hAnsi="Times New Roman" w:eastAsia="宋体" w:cs="宋体"/>
      <w:kern w:val="2"/>
      <w:sz w:val="18"/>
      <w:szCs w:val="18"/>
    </w:rPr>
  </w:style>
  <w:style w:type="character" w:customStyle="1" w:styleId="19">
    <w:name w:val="批注文字 字符"/>
    <w:basedOn w:val="15"/>
    <w:link w:val="7"/>
    <w:qFormat/>
    <w:uiPriority w:val="0"/>
    <w:rPr>
      <w:rFonts w:ascii="Times New Roman" w:hAnsi="Times New Roman" w:eastAsia="宋体" w:cs="宋体"/>
      <w:kern w:val="2"/>
      <w:sz w:val="21"/>
      <w:szCs w:val="24"/>
    </w:rPr>
  </w:style>
  <w:style w:type="character" w:customStyle="1" w:styleId="20">
    <w:name w:val="批注主题 字符"/>
    <w:basedOn w:val="19"/>
    <w:link w:val="13"/>
    <w:qFormat/>
    <w:uiPriority w:val="0"/>
    <w:rPr>
      <w:rFonts w:ascii="Times New Roman" w:hAnsi="Times New Roman" w:eastAsia="宋体" w:cs="宋体"/>
      <w:b/>
      <w:bCs/>
      <w:kern w:val="2"/>
      <w:sz w:val="21"/>
      <w:szCs w:val="24"/>
    </w:rPr>
  </w:style>
  <w:style w:type="paragraph" w:customStyle="1" w:styleId="21">
    <w:name w:val="Revision"/>
    <w:hidden/>
    <w:semiHidden/>
    <w:qFormat/>
    <w:uiPriority w:val="99"/>
    <w:rPr>
      <w:rFonts w:ascii="Times New Roman" w:hAnsi="Times New Roman" w:eastAsia="宋体" w:cs="宋体"/>
      <w:kern w:val="2"/>
      <w:sz w:val="21"/>
      <w:szCs w:val="24"/>
      <w:lang w:val="en-US" w:eastAsia="zh-CN" w:bidi="ar-SA"/>
    </w:rPr>
  </w:style>
  <w:style w:type="character" w:customStyle="1" w:styleId="22">
    <w:name w:val="批注框文本 字符"/>
    <w:basedOn w:val="15"/>
    <w:link w:val="9"/>
    <w:qFormat/>
    <w:uiPriority w:val="0"/>
    <w:rPr>
      <w:rFonts w:ascii="Times New Roman" w:hAnsi="Times New Roman" w:eastAsia="宋体" w:cs="宋体"/>
      <w:kern w:val="2"/>
      <w:sz w:val="18"/>
      <w:szCs w:val="18"/>
    </w:rPr>
  </w:style>
  <w:style w:type="character" w:customStyle="1" w:styleId="23">
    <w:name w:val="纯文本 字符1"/>
    <w:link w:val="8"/>
    <w:qFormat/>
    <w:uiPriority w:val="0"/>
    <w:rPr>
      <w:rFonts w:ascii="宋体" w:hAnsi="Courier New"/>
      <w:kern w:val="2"/>
      <w:sz w:val="21"/>
    </w:rPr>
  </w:style>
  <w:style w:type="character" w:customStyle="1" w:styleId="24">
    <w:name w:val="纯文本 字符"/>
    <w:basedOn w:val="15"/>
    <w:qFormat/>
    <w:uiPriority w:val="0"/>
    <w:rPr>
      <w:rFonts w:hAnsi="Courier New" w:cs="Courier New" w:asciiTheme="minorEastAsia"/>
      <w:kern w:val="2"/>
      <w:sz w:val="21"/>
      <w:szCs w:val="24"/>
    </w:rPr>
  </w:style>
  <w:style w:type="paragraph" w:customStyle="1" w:styleId="25">
    <w:name w:val="中等深浅网格 1 - 强调文字颜色 21"/>
    <w:basedOn w:val="1"/>
    <w:qFormat/>
    <w:uiPriority w:val="34"/>
    <w:pPr>
      <w:ind w:firstLine="420" w:firstLineChars="200"/>
    </w:pPr>
    <w:rPr>
      <w:rFonts w:ascii="Calibri" w:hAnsi="Calibri" w:cs="Times New Roman"/>
      <w:szCs w:val="22"/>
    </w:rPr>
  </w:style>
  <w:style w:type="paragraph" w:styleId="26">
    <w:name w:val="List Paragraph"/>
    <w:basedOn w:val="1"/>
    <w:qFormat/>
    <w:uiPriority w:val="34"/>
    <w:pPr>
      <w:ind w:firstLine="420" w:firstLineChars="200"/>
    </w:pPr>
    <w:rPr>
      <w:rFonts w:ascii="Calibri" w:hAnsi="Calibri" w:cs="Times New Roman"/>
      <w:szCs w:val="22"/>
    </w:rPr>
  </w:style>
  <w:style w:type="character" w:customStyle="1" w:styleId="27">
    <w:name w:val="文档结构图 字符"/>
    <w:basedOn w:val="15"/>
    <w:link w:val="6"/>
    <w:qFormat/>
    <w:uiPriority w:val="0"/>
    <w:rPr>
      <w:rFonts w:ascii="宋体" w:hAnsi="Times New Roman" w:eastAsia="宋体" w:cs="宋体"/>
      <w:kern w:val="2"/>
      <w:sz w:val="18"/>
      <w:szCs w:val="18"/>
    </w:rPr>
  </w:style>
  <w:style w:type="character" w:customStyle="1" w:styleId="28">
    <w:name w:val="NormalCharacter"/>
    <w:semiHidden/>
    <w:qFormat/>
    <w:uiPriority w:val="0"/>
  </w:style>
  <w:style w:type="paragraph" w:customStyle="1" w:styleId="2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styleId="3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_Style 26"/>
    <w:basedOn w:val="1"/>
    <w:next w:val="26"/>
    <w:qFormat/>
    <w:uiPriority w:val="34"/>
    <w:pPr>
      <w:ind w:firstLine="420" w:firstLineChars="200"/>
    </w:pPr>
    <w:rPr>
      <w:rFonts w:cs="Times New Roman"/>
    </w:rPr>
  </w:style>
  <w:style w:type="character" w:customStyle="1" w:styleId="32">
    <w:name w:val="font31"/>
    <w:qFormat/>
    <w:uiPriority w:val="0"/>
    <w:rPr>
      <w:rFonts w:hint="eastAsia" w:ascii="宋体" w:hAnsi="宋体" w:eastAsia="宋体" w:cs="宋体"/>
      <w:color w:val="000000"/>
      <w:sz w:val="24"/>
      <w:szCs w:val="24"/>
      <w:u w:val="none"/>
    </w:rPr>
  </w:style>
  <w:style w:type="character" w:customStyle="1" w:styleId="33">
    <w:name w:val="font11"/>
    <w:qFormat/>
    <w:uiPriority w:val="0"/>
    <w:rPr>
      <w:rFonts w:hint="default" w:ascii="Times New Roman" w:hAnsi="Times New Roman" w:cs="Times New Roman"/>
      <w:color w:val="000000"/>
      <w:sz w:val="24"/>
      <w:szCs w:val="24"/>
      <w:u w:val="none"/>
    </w:rPr>
  </w:style>
  <w:style w:type="character" w:customStyle="1" w:styleId="34">
    <w:name w:val="标题 3 字符"/>
    <w:basedOn w:val="15"/>
    <w:semiHidden/>
    <w:qFormat/>
    <w:uiPriority w:val="0"/>
    <w:rPr>
      <w:rFonts w:ascii="Times New Roman" w:hAnsi="Times New Roman" w:eastAsia="宋体" w:cs="宋体"/>
      <w:b/>
      <w:bCs/>
      <w:kern w:val="2"/>
      <w:sz w:val="32"/>
      <w:szCs w:val="32"/>
    </w:rPr>
  </w:style>
  <w:style w:type="character" w:customStyle="1" w:styleId="35">
    <w:name w:val="标题 3 字符1"/>
    <w:link w:val="4"/>
    <w:qFormat/>
    <w:uiPriority w:val="0"/>
    <w:rPr>
      <w:rFonts w:ascii="Calibri" w:hAnsi="Calibri" w:eastAsia="宋体" w:cs="Times New Roman"/>
      <w:b/>
      <w:bCs/>
      <w:kern w:val="2"/>
      <w:sz w:val="28"/>
      <w:szCs w:val="32"/>
    </w:rPr>
  </w:style>
  <w:style w:type="paragraph" w:customStyle="1" w:styleId="36">
    <w:name w:val="列出段落1"/>
    <w:basedOn w:val="1"/>
    <w:qFormat/>
    <w:uiPriority w:val="34"/>
    <w:pPr>
      <w:ind w:firstLine="420" w:firstLineChars="200"/>
    </w:pPr>
    <w:rPr>
      <w:rFonts w:ascii="Calibri" w:hAnsi="Calibri" w:cs="Times New Roman"/>
    </w:rPr>
  </w:style>
  <w:style w:type="character" w:customStyle="1" w:styleId="37">
    <w:name w:val="font61"/>
    <w:basedOn w:val="15"/>
    <w:qFormat/>
    <w:uiPriority w:val="0"/>
    <w:rPr>
      <w:rFonts w:hint="default" w:ascii="幼圆" w:hAnsi="幼圆" w:eastAsia="幼圆" w:cs="幼圆"/>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B1F-772B-4C33-9B26-FBE03CCCECF2}">
  <ds:schemaRefs/>
</ds:datastoreItem>
</file>

<file path=docProps/app.xml><?xml version="1.0" encoding="utf-8"?>
<Properties xmlns="http://schemas.openxmlformats.org/officeDocument/2006/extended-properties" xmlns:vt="http://schemas.openxmlformats.org/officeDocument/2006/docPropsVTypes">
  <Template>Normal</Template>
  <Pages>4</Pages>
  <Words>1934</Words>
  <Characters>2187</Characters>
  <Lines>14</Lines>
  <Paragraphs>4</Paragraphs>
  <TotalTime>3</TotalTime>
  <ScaleCrop>false</ScaleCrop>
  <LinksUpToDate>false</LinksUpToDate>
  <CharactersWithSpaces>2192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2019-11-08T04:25:00Z</dcterms:created>
  <dc:creator>ghost</dc:creator>
  <cp:lastModifiedBy>11201004</cp:lastModifiedBy>
  <cp:lastPrinted>2023-02-06T02:59:08Z</cp:lastPrinted>
  <dcterms:modified xsi:type="dcterms:W3CDTF">2023-02-06T02:59:12Z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A9967F2B76474F9BBA20C4E9C2D027BA</vt:lpwstr>
  </property>
</Properties>
</file>