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822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190"/>
        <w:gridCol w:w="6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220" w:type="dxa"/>
            <w:gridSpan w:val="3"/>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color w:val="000000"/>
                <w:kern w:val="0"/>
                <w:sz w:val="21"/>
                <w:szCs w:val="21"/>
              </w:rPr>
            </w:pPr>
            <w:r>
              <w:rPr>
                <w:rFonts w:hint="default" w:ascii="宋体" w:hAnsi="宋体" w:eastAsia="宋体" w:cs="宋体"/>
                <w:b w:val="0"/>
                <w:bCs/>
                <w:color w:val="000000"/>
                <w:kern w:val="0"/>
                <w:sz w:val="32"/>
                <w:szCs w:val="32"/>
                <w:lang w:val="en-US" w:eastAsia="zh-CN"/>
              </w:rPr>
              <w:t>“</w:t>
            </w:r>
            <w:r>
              <w:rPr>
                <w:rFonts w:hint="eastAsia" w:ascii="宋体" w:hAnsi="宋体" w:eastAsia="宋体" w:cs="宋体"/>
                <w:b w:val="0"/>
                <w:bCs/>
                <w:color w:val="000000"/>
                <w:kern w:val="0"/>
                <w:sz w:val="32"/>
                <w:szCs w:val="32"/>
              </w:rPr>
              <w:t>服务器虚拟化软件</w:t>
            </w:r>
            <w:r>
              <w:rPr>
                <w:rFonts w:hint="default" w:ascii="宋体" w:hAnsi="宋体" w:eastAsia="宋体" w:cs="宋体"/>
                <w:b w:val="0"/>
                <w:bCs/>
                <w:color w:val="000000"/>
                <w:kern w:val="0"/>
                <w:sz w:val="32"/>
                <w:szCs w:val="32"/>
                <w:lang w:val="en-US" w:eastAsia="zh-CN"/>
              </w:rPr>
              <w:t>”</w:t>
            </w:r>
            <w:r>
              <w:rPr>
                <w:rFonts w:hint="eastAsia" w:ascii="宋体" w:hAnsi="宋体" w:eastAsia="宋体" w:cs="宋体"/>
                <w:b w:val="0"/>
                <w:bCs/>
                <w:color w:val="000000"/>
                <w:kern w:val="0"/>
                <w:sz w:val="32"/>
                <w:szCs w:val="32"/>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20"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bidi="ar"/>
              </w:rPr>
              <w:t>项目编号</w:t>
            </w:r>
          </w:p>
        </w:tc>
        <w:tc>
          <w:tcPr>
            <w:tcW w:w="600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b w:val="0"/>
                <w:bCs/>
                <w:color w:val="000000"/>
                <w:kern w:val="0"/>
                <w:sz w:val="21"/>
                <w:szCs w:val="21"/>
              </w:rPr>
              <w:t>2022-JKMTDY-W138</w:t>
            </w:r>
            <w:r>
              <w:rPr>
                <w:rFonts w:hint="eastAsia" w:ascii="宋体" w:hAnsi="宋体" w:eastAsia="宋体" w:cs="宋体"/>
                <w:b w:val="0"/>
                <w:bCs/>
                <w:color w:val="000000"/>
                <w:kern w:val="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220" w:type="dxa"/>
            <w:gridSpan w:val="2"/>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bidi="ar"/>
              </w:rPr>
              <w:t>项目</w:t>
            </w:r>
            <w:r>
              <w:rPr>
                <w:rFonts w:hint="eastAsia" w:ascii="宋体" w:hAnsi="宋体" w:eastAsia="宋体" w:cs="宋体"/>
                <w:sz w:val="21"/>
                <w:szCs w:val="21"/>
                <w:lang w:bidi="ar"/>
              </w:rPr>
              <w:t>名称</w:t>
            </w:r>
          </w:p>
        </w:tc>
        <w:tc>
          <w:tcPr>
            <w:tcW w:w="600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b w:val="0"/>
                <w:bCs/>
                <w:color w:val="000000"/>
                <w:kern w:val="0"/>
                <w:sz w:val="21"/>
                <w:szCs w:val="21"/>
              </w:rPr>
              <w:t>服务器虚拟化软件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220" w:type="dxa"/>
            <w:gridSpan w:val="2"/>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kern w:val="2"/>
                <w:sz w:val="21"/>
                <w:szCs w:val="21"/>
                <w:lang w:val="en-US" w:eastAsia="zh-CN" w:bidi="ar"/>
              </w:rPr>
              <w:t>是否进口</w:t>
            </w:r>
          </w:p>
        </w:tc>
        <w:tc>
          <w:tcPr>
            <w:tcW w:w="600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b w:val="0"/>
                <w:bCs/>
                <w:sz w:val="21"/>
                <w:szCs w:val="21"/>
                <w:lang w:bidi="ar"/>
              </w:rPr>
              <w:t>■国产    □进口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220" w:type="dxa"/>
            <w:gridSpan w:val="2"/>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bidi="ar"/>
              </w:rPr>
              <w:t>最高投标限价</w:t>
            </w:r>
          </w:p>
        </w:tc>
        <w:tc>
          <w:tcPr>
            <w:tcW w:w="600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b w:val="0"/>
                <w:bCs/>
                <w:sz w:val="21"/>
                <w:szCs w:val="21"/>
              </w:rPr>
              <w:t>人民币</w:t>
            </w:r>
            <w:r>
              <w:rPr>
                <w:rFonts w:hint="eastAsia" w:ascii="宋体" w:hAnsi="宋体" w:eastAsia="宋体" w:cs="宋体"/>
                <w:b w:val="0"/>
                <w:bCs/>
                <w:sz w:val="21"/>
                <w:szCs w:val="21"/>
                <w:lang w:val="en-US" w:eastAsia="zh-CN"/>
              </w:rPr>
              <w:t>62.4</w:t>
            </w:r>
            <w:r>
              <w:rPr>
                <w:rFonts w:hint="eastAsia" w:ascii="宋体" w:hAnsi="宋体" w:eastAsia="宋体" w:cs="宋体"/>
                <w:b w:val="0"/>
                <w:bCs/>
                <w:sz w:val="21"/>
                <w:szCs w:val="21"/>
              </w:rPr>
              <w:t>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03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1"/>
                <w:szCs w:val="21"/>
              </w:rPr>
            </w:pPr>
            <w:r>
              <w:rPr>
                <w:rFonts w:hint="eastAsia" w:ascii="宋体" w:hAnsi="宋体" w:eastAsia="宋体" w:cs="宋体"/>
                <w:sz w:val="21"/>
                <w:szCs w:val="21"/>
              </w:rPr>
              <w:t>序号</w:t>
            </w:r>
          </w:p>
        </w:tc>
        <w:tc>
          <w:tcPr>
            <w:tcW w:w="11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1"/>
                <w:szCs w:val="21"/>
              </w:rPr>
            </w:pPr>
            <w:r>
              <w:rPr>
                <w:rFonts w:hint="eastAsia" w:ascii="宋体" w:hAnsi="宋体" w:eastAsia="宋体" w:cs="宋体"/>
                <w:sz w:val="21"/>
                <w:szCs w:val="21"/>
              </w:rPr>
              <w:t>指标名称</w:t>
            </w:r>
          </w:p>
        </w:tc>
        <w:tc>
          <w:tcPr>
            <w:tcW w:w="600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1"/>
                <w:szCs w:val="21"/>
              </w:rPr>
            </w:pPr>
            <w:r>
              <w:rPr>
                <w:rFonts w:hint="eastAsia" w:ascii="宋体" w:hAnsi="宋体" w:eastAsia="宋体" w:cs="宋体"/>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计算虚拟化软件</w:t>
            </w:r>
          </w:p>
        </w:tc>
        <w:tc>
          <w:tcPr>
            <w:tcW w:w="6000"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★本次配置16颗CPU虚拟化授权许可；</w:t>
            </w:r>
          </w:p>
          <w:p>
            <w:pPr>
              <w:keepNext w:val="0"/>
              <w:keepLines w:val="0"/>
              <w:pageBreakBefore w:val="0"/>
              <w:numPr>
                <w:ilvl w:val="0"/>
                <w:numId w:val="1"/>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虚拟化软件非OEM或贴牌产品，禁止借用第三方软件的整合，以保证功能的可靠性和安全性，提供计算虚拟化软件著作权证书；</w:t>
            </w:r>
          </w:p>
          <w:p>
            <w:pPr>
              <w:keepNext w:val="0"/>
              <w:keepLines w:val="0"/>
              <w:pageBreakBefore w:val="0"/>
              <w:numPr>
                <w:ilvl w:val="0"/>
                <w:numId w:val="1"/>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sz w:val="21"/>
                <w:szCs w:val="21"/>
              </w:rPr>
              <w:t>为避免主机假死导致系列问题发生，支持识别假死主机并标签化为亚健康主机，通过邮件或短信告警提醒用户进行处理，并限制重要业务在亚健康主机上运行，规避风险；</w:t>
            </w:r>
          </w:p>
          <w:p>
            <w:pPr>
              <w:keepNext w:val="0"/>
              <w:keepLines w:val="0"/>
              <w:pageBreakBefore w:val="0"/>
              <w:numPr>
                <w:ilvl w:val="0"/>
                <w:numId w:val="1"/>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支持平台中的集群资源环境一键检测，对硬件健康、平台底层的虚拟化的运行状态和配置，进行多个维度进行检查，提供快速定位问题功能，确保系统最佳状态；</w:t>
            </w:r>
          </w:p>
          <w:p>
            <w:pPr>
              <w:keepNext w:val="0"/>
              <w:keepLines w:val="0"/>
              <w:pageBreakBefore w:val="0"/>
              <w:numPr>
                <w:ilvl w:val="0"/>
                <w:numId w:val="1"/>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在超融合管理平台管理界面上提供虚拟机启动、挂起与恢复、重启、关闭、关闭电源、克隆、迁移、备份、模板导出、快照等功能；</w:t>
            </w:r>
          </w:p>
          <w:p>
            <w:pPr>
              <w:keepNext w:val="0"/>
              <w:keepLines w:val="0"/>
              <w:pageBreakBefore w:val="0"/>
              <w:numPr>
                <w:ilvl w:val="0"/>
                <w:numId w:val="1"/>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sz w:val="21"/>
                <w:szCs w:val="21"/>
              </w:rPr>
              <w:t>虚拟化支持设置定期全量备份、增量备份、差异备份，支持用户灵活配置备份策略，备份文件保留时间最高可以达到15年，支持将虚拟机的备份文件定期归档到第二存储；</w:t>
            </w:r>
          </w:p>
          <w:p>
            <w:pPr>
              <w:keepNext w:val="0"/>
              <w:keepLines w:val="0"/>
              <w:pageBreakBefore w:val="0"/>
              <w:numPr>
                <w:ilvl w:val="0"/>
                <w:numId w:val="1"/>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sz w:val="21"/>
                <w:szCs w:val="21"/>
              </w:rPr>
              <w:t>虚拟机资源告警项支持虚拟机CPU利用率、内存利用率，虚拟机单网口链接session数过高，并检测异常状态持续时间，支持检测虚拟机镜像文件损坏，备份失败，虚拟机与外部网络不通的监控告警，用户可自定义告警项并支持通过邮件和短信进行告警</w:t>
            </w:r>
          </w:p>
          <w:p>
            <w:pPr>
              <w:keepNext w:val="0"/>
              <w:keepLines w:val="0"/>
              <w:pageBreakBefore w:val="0"/>
              <w:numPr>
                <w:ilvl w:val="0"/>
                <w:numId w:val="1"/>
              </w:numPr>
              <w:kinsoku/>
              <w:wordWrap/>
              <w:overflowPunct/>
              <w:topLinePunct w:val="0"/>
              <w:autoSpaceDE/>
              <w:autoSpaceDN/>
              <w:bidi w:val="0"/>
              <w:adjustRightInd/>
              <w:snapToGrid/>
              <w:spacing w:line="300" w:lineRule="exact"/>
              <w:ind w:left="425" w:leftChars="0" w:hanging="425" w:firstLineChars="0"/>
              <w:textAlignment w:val="auto"/>
              <w:rPr>
                <w:rFonts w:hint="eastAsia" w:ascii="宋体" w:hAnsi="宋体" w:eastAsia="宋体" w:cs="宋体"/>
                <w:sz w:val="21"/>
                <w:szCs w:val="21"/>
              </w:rPr>
            </w:pPr>
            <w:r>
              <w:rPr>
                <w:rFonts w:hint="eastAsia" w:ascii="宋体" w:hAnsi="宋体" w:eastAsia="宋体" w:cs="宋体"/>
                <w:sz w:val="21"/>
                <w:szCs w:val="21"/>
              </w:rPr>
              <w:t>支持设置告警类型（紧急和普通）、告警内容（集群、主机、虚拟机、CPU、内存、磁盘），针对告警信息平台可自动给出告警处理建议，同时支持将告警信息以短信和邮件方式发送给管理员；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03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1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存储虚拟化</w:t>
            </w:r>
          </w:p>
        </w:tc>
        <w:tc>
          <w:tcPr>
            <w:tcW w:w="6000" w:type="dxa"/>
            <w:vAlign w:val="center"/>
          </w:tcPr>
          <w:p>
            <w:pPr>
              <w:keepNext w:val="0"/>
              <w:keepLines w:val="0"/>
              <w:pageBreakBefore w:val="0"/>
              <w:numPr>
                <w:ilvl w:val="0"/>
                <w:numId w:val="2"/>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★要求配置16颗CPU个数的存储虚拟化授权；</w:t>
            </w:r>
          </w:p>
          <w:p>
            <w:pPr>
              <w:keepNext w:val="0"/>
              <w:keepLines w:val="0"/>
              <w:pageBreakBefore w:val="0"/>
              <w:numPr>
                <w:ilvl w:val="0"/>
                <w:numId w:val="2"/>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产品完全自研，非OEM，需提供分布式存储软件著作权证书；</w:t>
            </w:r>
          </w:p>
          <w:p>
            <w:pPr>
              <w:keepNext w:val="0"/>
              <w:keepLines w:val="0"/>
              <w:pageBreakBefore w:val="0"/>
              <w:numPr>
                <w:ilvl w:val="0"/>
                <w:numId w:val="2"/>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支持内存读缓存功能，可以利用物理节点的内存作为读缓存，以提高读性能，实现内存、SSD、HDD三级存储分层。</w:t>
            </w:r>
          </w:p>
          <w:p>
            <w:pPr>
              <w:keepNext w:val="0"/>
              <w:keepLines w:val="0"/>
              <w:pageBreakBefore w:val="0"/>
              <w:numPr>
                <w:ilvl w:val="0"/>
                <w:numId w:val="2"/>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sz w:val="21"/>
                <w:szCs w:val="21"/>
              </w:rPr>
              <w:t>虚拟存储可支持Oracle RAC，支持共享盘，及共享块设备，支持向导式安装，降低部署复杂度。</w:t>
            </w:r>
          </w:p>
          <w:p>
            <w:pPr>
              <w:keepNext w:val="0"/>
              <w:keepLines w:val="0"/>
              <w:pageBreakBefore w:val="0"/>
              <w:numPr>
                <w:ilvl w:val="0"/>
                <w:numId w:val="2"/>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sz w:val="21"/>
                <w:szCs w:val="21"/>
              </w:rPr>
              <w:t>支持部署oracle rac，且为保证集群业务或者oracle rac数据库业务的快照一致性，以便故障时业务可通过快照恢复，支持对虚拟机一致性组同步进行快照。</w:t>
            </w:r>
          </w:p>
          <w:p>
            <w:pPr>
              <w:keepNext w:val="0"/>
              <w:keepLines w:val="0"/>
              <w:pageBreakBefore w:val="0"/>
              <w:numPr>
                <w:ilvl w:val="0"/>
                <w:numId w:val="2"/>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支持2个或以上多副本冗余功能，副本互斥地保存在集群的不同节点. 当1个或多个主机或者磁盘故障，确保数据依旧正常访问</w:t>
            </w:r>
          </w:p>
          <w:p>
            <w:pPr>
              <w:keepNext w:val="0"/>
              <w:keepLines w:val="0"/>
              <w:pageBreakBefore w:val="0"/>
              <w:numPr>
                <w:ilvl w:val="0"/>
                <w:numId w:val="2"/>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sz w:val="21"/>
                <w:szCs w:val="21"/>
              </w:rPr>
              <w:t>支持数据重建优先级调整，在故障数据重新恢复时，可由用户指定优先重建的虚拟机，保证重要的业务优先恢复数据的安全性。</w:t>
            </w:r>
          </w:p>
          <w:p>
            <w:pPr>
              <w:keepNext w:val="0"/>
              <w:keepLines w:val="0"/>
              <w:pageBreakBefore w:val="0"/>
              <w:numPr>
                <w:ilvl w:val="0"/>
                <w:numId w:val="2"/>
              </w:numPr>
              <w:kinsoku/>
              <w:wordWrap/>
              <w:overflowPunct/>
              <w:topLinePunct w:val="0"/>
              <w:autoSpaceDE/>
              <w:autoSpaceDN/>
              <w:bidi w:val="0"/>
              <w:adjustRightInd/>
              <w:snapToGrid/>
              <w:spacing w:line="30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w:t>
            </w:r>
            <w:r>
              <w:rPr>
                <w:rFonts w:hint="eastAsia" w:ascii="宋体" w:hAnsi="宋体" w:eastAsia="宋体" w:cs="宋体"/>
                <w:sz w:val="21"/>
                <w:szCs w:val="21"/>
              </w:rPr>
              <w:t>支持数据重建智能保护业务性能，可以对数据重建速度进行智能限速，避免数据重建过程中IO性能占用导致对业务的性能造成影响。</w:t>
            </w:r>
          </w:p>
          <w:p>
            <w:pPr>
              <w:keepNext w:val="0"/>
              <w:keepLines w:val="0"/>
              <w:pageBreakBefore w:val="0"/>
              <w:numPr>
                <w:ilvl w:val="0"/>
                <w:numId w:val="2"/>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sz w:val="21"/>
                <w:szCs w:val="21"/>
              </w:rPr>
              <w:t>支持单节点的一块或多块缓存盘（SSD）拔出后，集群内所有的虚拟机正常运行未出现中断，其中一台虚拟机硬盘拔出前后磁盘读写（IO）性能少幅下降，或几乎没有下降。</w:t>
            </w:r>
          </w:p>
          <w:p>
            <w:pPr>
              <w:keepNext w:val="0"/>
              <w:keepLines w:val="0"/>
              <w:pageBreakBefore w:val="0"/>
              <w:numPr>
                <w:ilvl w:val="0"/>
                <w:numId w:val="2"/>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支持坏道修复功能，发现坏道后，主动修复坏道区域的数据，及时恢复数据副本的冗余性；当硬盘的坏道数过多，系统能自动将该盘的数据迁移至其他健康的硬盘上，保障数据的安全</w:t>
            </w:r>
          </w:p>
          <w:p>
            <w:pPr>
              <w:keepNext w:val="0"/>
              <w:keepLines w:val="0"/>
              <w:pageBreakBefore w:val="0"/>
              <w:numPr>
                <w:ilvl w:val="0"/>
                <w:numId w:val="2"/>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＃支持智能坏道预测，准确识别出接下来会出现坏道的硬盘，实现故障前预测并处理，规避故障风险;</w:t>
            </w:r>
          </w:p>
          <w:p>
            <w:pPr>
              <w:keepNext w:val="0"/>
              <w:keepLines w:val="0"/>
              <w:pageBreakBefore w:val="0"/>
              <w:numPr>
                <w:ilvl w:val="0"/>
                <w:numId w:val="2"/>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＃支持多种硬盘状态检测监控及告警，包括“健康”状态、“亚健康”状态、“故障”状态，不同状态的硬盘在UI上呈现不同的特征或告警，让用户能够区分处理；</w:t>
            </w:r>
          </w:p>
          <w:p>
            <w:pPr>
              <w:keepNext w:val="0"/>
              <w:keepLines w:val="0"/>
              <w:pageBreakBefore w:val="0"/>
              <w:numPr>
                <w:ilvl w:val="0"/>
                <w:numId w:val="2"/>
              </w:numPr>
              <w:kinsoku/>
              <w:wordWrap/>
              <w:overflowPunct/>
              <w:topLinePunct w:val="0"/>
              <w:autoSpaceDE/>
              <w:autoSpaceDN/>
              <w:bidi w:val="0"/>
              <w:adjustRightInd/>
              <w:snapToGrid/>
              <w:spacing w:line="300" w:lineRule="exact"/>
              <w:ind w:left="425" w:leftChars="0" w:hanging="425" w:firstLineChars="0"/>
              <w:textAlignment w:val="auto"/>
              <w:rPr>
                <w:rFonts w:hint="eastAsia" w:ascii="宋体" w:hAnsi="宋体" w:eastAsia="宋体" w:cs="宋体"/>
                <w:sz w:val="21"/>
                <w:szCs w:val="21"/>
              </w:rPr>
            </w:pPr>
            <w:r>
              <w:rPr>
                <w:rFonts w:hint="eastAsia" w:ascii="宋体" w:hAnsi="宋体" w:eastAsia="宋体" w:cs="宋体"/>
                <w:sz w:val="21"/>
                <w:szCs w:val="21"/>
              </w:rPr>
              <w:t>＃支持针对亚健康盘卡慢状态自动处理，能够隔离卡慢盘实现读写切源，避免卡慢盘影响集群的性能;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03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1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网络虚拟化</w:t>
            </w:r>
          </w:p>
        </w:tc>
        <w:tc>
          <w:tcPr>
            <w:tcW w:w="6000" w:type="dxa"/>
            <w:vAlign w:val="top"/>
          </w:tcPr>
          <w:p>
            <w:pPr>
              <w:keepNext w:val="0"/>
              <w:keepLines w:val="0"/>
              <w:pageBreakBefore w:val="0"/>
              <w:numPr>
                <w:ilvl w:val="0"/>
                <w:numId w:val="3"/>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color w:val="000000" w:themeColor="text1"/>
                <w:sz w:val="21"/>
                <w:szCs w:val="21"/>
              </w:rPr>
              <w:t>★</w:t>
            </w:r>
            <w:r>
              <w:rPr>
                <w:rFonts w:hint="eastAsia" w:ascii="宋体" w:hAnsi="宋体" w:eastAsia="宋体" w:cs="宋体"/>
                <w:sz w:val="21"/>
                <w:szCs w:val="21"/>
              </w:rPr>
              <w:t>本次提供16颗CPU授权；</w:t>
            </w:r>
          </w:p>
          <w:p>
            <w:pPr>
              <w:keepNext w:val="0"/>
              <w:keepLines w:val="0"/>
              <w:pageBreakBefore w:val="0"/>
              <w:numPr>
                <w:ilvl w:val="0"/>
                <w:numId w:val="3"/>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网络虚拟化产品完全自研，非OEM，需提供网络虚拟化软件著作权证书；</w:t>
            </w:r>
          </w:p>
          <w:p>
            <w:pPr>
              <w:keepNext w:val="0"/>
              <w:keepLines w:val="0"/>
              <w:pageBreakBefore w:val="0"/>
              <w:numPr>
                <w:ilvl w:val="0"/>
                <w:numId w:val="3"/>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虚拟路由器支持HA功能，当虚拟路由器运行的主机出现故障时，可以实现故障自动恢复，保障业务的高可靠性；</w:t>
            </w:r>
          </w:p>
          <w:p>
            <w:pPr>
              <w:keepNext w:val="0"/>
              <w:keepLines w:val="0"/>
              <w:pageBreakBefore w:val="0"/>
              <w:numPr>
                <w:ilvl w:val="0"/>
                <w:numId w:val="3"/>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支持对oracle、sqlserver数据库监控，实现对数据库的语句的故障定位排错，执行时延分析。</w:t>
            </w:r>
          </w:p>
          <w:p>
            <w:pPr>
              <w:keepNext w:val="0"/>
              <w:keepLines w:val="0"/>
              <w:pageBreakBefore w:val="0"/>
              <w:numPr>
                <w:ilvl w:val="0"/>
                <w:numId w:val="3"/>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sz w:val="21"/>
                <w:szCs w:val="21"/>
              </w:rPr>
              <w:t>主动探测业务系统，实时监控业务可用性，监控策略包括HTTP、FTP、POP3、SMTP、自定义端口协议等，当业务出现故障时，通过多种方式（短信、邮箱）告知管理员进行排障;</w:t>
            </w:r>
          </w:p>
          <w:p>
            <w:pPr>
              <w:keepNext w:val="0"/>
              <w:keepLines w:val="0"/>
              <w:pageBreakBefore w:val="0"/>
              <w:numPr>
                <w:ilvl w:val="0"/>
                <w:numId w:val="3"/>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支持链路聚合，为网络中的每个虚拟机提供内置的网络故障切换和负载均衡能力，实现更高的硬件可用性和容错能力</w:t>
            </w:r>
          </w:p>
          <w:p>
            <w:pPr>
              <w:keepNext w:val="0"/>
              <w:keepLines w:val="0"/>
              <w:pageBreakBefore w:val="0"/>
              <w:numPr>
                <w:ilvl w:val="0"/>
                <w:numId w:val="3"/>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sz w:val="21"/>
                <w:szCs w:val="21"/>
              </w:rPr>
              <w:t>在管理平台上可以通过拖拽虚拟设备图标和连线就能完成网络拓扑的构建，快速的实现整个业务逻辑，并且可以连接、开启、关闭虚拟网络设备，支持对整个平台虚拟设备实现统一的管理，提升运维管理的工作效率;</w:t>
            </w:r>
          </w:p>
          <w:p>
            <w:pPr>
              <w:keepNext w:val="0"/>
              <w:keepLines w:val="0"/>
              <w:pageBreakBefore w:val="0"/>
              <w:numPr>
                <w:ilvl w:val="0"/>
                <w:numId w:val="3"/>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提供虚拟机报表功能，可以导出TOPN的虚拟机进行1年以内的性能分析与趋势分析报表，可以自定义报表模板</w:t>
            </w:r>
          </w:p>
          <w:p>
            <w:pPr>
              <w:keepNext w:val="0"/>
              <w:keepLines w:val="0"/>
              <w:pageBreakBefore w:val="0"/>
              <w:numPr>
                <w:ilvl w:val="0"/>
                <w:numId w:val="3"/>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满足用户使用ipv6地址的需求，支持为虚拟机配置ipv6地址，并可通过ipv6地址访问该业务</w:t>
            </w:r>
          </w:p>
          <w:p>
            <w:pPr>
              <w:keepNext w:val="0"/>
              <w:keepLines w:val="0"/>
              <w:pageBreakBefore w:val="0"/>
              <w:numPr>
                <w:ilvl w:val="0"/>
                <w:numId w:val="3"/>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sz w:val="21"/>
                <w:szCs w:val="21"/>
              </w:rPr>
              <w:t>支持创建分布式虚拟防火墙，基于虚拟机构建安全防火墙，当虚拟机在不同的物理节点之间迁移时，安全策略随之移动;</w:t>
            </w:r>
          </w:p>
          <w:p>
            <w:pPr>
              <w:keepNext w:val="0"/>
              <w:keepLines w:val="0"/>
              <w:pageBreakBefore w:val="0"/>
              <w:numPr>
                <w:ilvl w:val="0"/>
                <w:numId w:val="3"/>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sz w:val="21"/>
                <w:szCs w:val="21"/>
              </w:rPr>
              <w:t>分布式防火墙基于监测虚机IP地址和端口进行东西向流量隔离控制，并提供实时拦截日志，以及支持“数据直通ByPass”功能，方便出现问题快速定位问题;</w:t>
            </w:r>
          </w:p>
          <w:p>
            <w:pPr>
              <w:keepNext w:val="0"/>
              <w:keepLines w:val="0"/>
              <w:pageBreakBefore w:val="0"/>
              <w:numPr>
                <w:ilvl w:val="0"/>
                <w:numId w:val="3"/>
              </w:numPr>
              <w:kinsoku/>
              <w:wordWrap/>
              <w:overflowPunct/>
              <w:topLinePunct w:val="0"/>
              <w:autoSpaceDE/>
              <w:autoSpaceDN/>
              <w:bidi w:val="0"/>
              <w:adjustRightInd/>
              <w:snapToGrid/>
              <w:spacing w:line="300" w:lineRule="exact"/>
              <w:ind w:left="674" w:leftChars="0" w:hanging="425" w:firstLineChars="0"/>
              <w:textAlignment w:val="auto"/>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sz w:val="21"/>
                <w:szCs w:val="21"/>
              </w:rPr>
              <w:t>支持ACL功能，通过ACL来控制虚拟机之间的网络访问能力，进而保障部署在虚拟机上的业务资源的安全性；支持根据报文的源和目的IP地址信息、源和目的IP地址及源和目的端口制定匹配规则;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4</w:t>
            </w:r>
          </w:p>
        </w:tc>
        <w:tc>
          <w:tcPr>
            <w:tcW w:w="11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管理平台</w:t>
            </w:r>
          </w:p>
        </w:tc>
        <w:tc>
          <w:tcPr>
            <w:tcW w:w="6000" w:type="dxa"/>
            <w:vAlign w:val="top"/>
          </w:tcPr>
          <w:p>
            <w:pPr>
              <w:keepNext w:val="0"/>
              <w:keepLines w:val="0"/>
              <w:pageBreakBefore w:val="0"/>
              <w:numPr>
                <w:ilvl w:val="0"/>
                <w:numId w:val="4"/>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采用分布式管理架构，去中心化，管理平台不依赖于某一个虚拟机或物理机部署，采用分布式架构保障平台更可靠;</w:t>
            </w:r>
          </w:p>
          <w:p>
            <w:pPr>
              <w:keepNext w:val="0"/>
              <w:keepLines w:val="0"/>
              <w:pageBreakBefore w:val="0"/>
              <w:numPr>
                <w:ilvl w:val="0"/>
                <w:numId w:val="4"/>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b/>
                <w:bCs/>
                <w:color w:val="000000" w:themeColor="text1"/>
                <w:sz w:val="21"/>
                <w:szCs w:val="21"/>
              </w:rPr>
              <w:t>＃</w:t>
            </w:r>
            <w:r>
              <w:rPr>
                <w:rFonts w:hint="eastAsia" w:ascii="宋体" w:hAnsi="宋体" w:eastAsia="宋体" w:cs="宋体"/>
                <w:color w:val="000000" w:themeColor="text1"/>
                <w:sz w:val="21"/>
                <w:szCs w:val="21"/>
              </w:rPr>
              <w:t xml:space="preserve">管理平台，和底层资源池部分的（计算虚拟化、存储虚拟化、网络虚拟化）均为同一厂商品牌提供，并可以支持扩展同一品牌的网络和安全虚拟化（虚拟应用防火墙、虚拟应用负载均衡等）功能组件，以保障平台的扩展性和兼容性; </w:t>
            </w:r>
          </w:p>
          <w:p>
            <w:pPr>
              <w:keepNext w:val="0"/>
              <w:keepLines w:val="0"/>
              <w:pageBreakBefore w:val="0"/>
              <w:numPr>
                <w:ilvl w:val="0"/>
                <w:numId w:val="4"/>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b/>
                <w:bCs/>
                <w:color w:val="000000" w:themeColor="text1"/>
                <w:sz w:val="21"/>
                <w:szCs w:val="21"/>
              </w:rPr>
              <w:t>＃</w:t>
            </w:r>
            <w:r>
              <w:rPr>
                <w:rFonts w:hint="eastAsia" w:ascii="宋体" w:hAnsi="宋体" w:eastAsia="宋体" w:cs="宋体"/>
                <w:color w:val="000000" w:themeColor="text1"/>
                <w:sz w:val="21"/>
                <w:szCs w:val="21"/>
              </w:rPr>
              <w:t>支持业务整体可靠性指标的集中展示，包括业务可靠性、平台可靠性和硬件可靠性，方便管理员能直观地掌握整个数据中心的可靠性状态;</w:t>
            </w:r>
          </w:p>
          <w:p>
            <w:pPr>
              <w:keepNext w:val="0"/>
              <w:keepLines w:val="0"/>
              <w:pageBreakBefore w:val="0"/>
              <w:numPr>
                <w:ilvl w:val="0"/>
                <w:numId w:val="4"/>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支持大屏展示便于直观查看虚拟化资源池的使用情况和健康状态，包括集群资源情况，各主机资源使用情况，存储资源池的IO次数、IO速率、IO时延、存储命中率、主机命中率，以及集群故障与告警，支持Top 5主机CPU和内存利用率、Top 5虚拟机CPU和内存利用率信息大屏展示等；</w:t>
            </w:r>
          </w:p>
          <w:p>
            <w:pPr>
              <w:keepNext w:val="0"/>
              <w:keepLines w:val="0"/>
              <w:pageBreakBefore w:val="0"/>
              <w:numPr>
                <w:ilvl w:val="0"/>
                <w:numId w:val="4"/>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可对硬件平台进行监控和大屏展示，包含CPU，内存，网卡，硬盘，存储，RAID等硬件健康检测，便于及时发现问题并提供相应异常检测项的恢复指导建议；</w:t>
            </w:r>
          </w:p>
          <w:p>
            <w:pPr>
              <w:keepNext w:val="0"/>
              <w:keepLines w:val="0"/>
              <w:pageBreakBefore w:val="0"/>
              <w:numPr>
                <w:ilvl w:val="0"/>
                <w:numId w:val="4"/>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支持对接OpenLDAP和windows AD域，可导入客户原有的LADP账号，实现LDAP统一认证；</w:t>
            </w:r>
          </w:p>
          <w:p>
            <w:pPr>
              <w:keepNext w:val="0"/>
              <w:keepLines w:val="0"/>
              <w:pageBreakBefore w:val="0"/>
              <w:numPr>
                <w:ilvl w:val="0"/>
                <w:numId w:val="4"/>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b/>
                <w:bCs/>
                <w:color w:val="000000" w:themeColor="text1"/>
                <w:sz w:val="21"/>
                <w:szCs w:val="21"/>
              </w:rPr>
              <w:t>＃</w:t>
            </w:r>
            <w:r>
              <w:rPr>
                <w:rFonts w:hint="eastAsia" w:ascii="宋体" w:hAnsi="宋体" w:eastAsia="宋体" w:cs="宋体"/>
                <w:color w:val="000000" w:themeColor="text1"/>
                <w:sz w:val="21"/>
                <w:szCs w:val="21"/>
              </w:rPr>
              <w:t>虚拟化管理平台中支持配置监控中心组件，具备监控分析功能，对资源池中CPU、网络、磁盘使用率等指标进行实时的数据统计。支持对oracle、sqlserver、Weblogic数据库及中间件监控，实现对数据库的语句的故障定位排错，执行时延分析；</w:t>
            </w:r>
          </w:p>
          <w:p>
            <w:pPr>
              <w:keepNext w:val="0"/>
              <w:keepLines w:val="0"/>
              <w:pageBreakBefore w:val="0"/>
              <w:numPr>
                <w:ilvl w:val="0"/>
                <w:numId w:val="4"/>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可对资源池中CPU、网络、磁盘使用率等指标进行实时的数据统计，当指标超过设置的阈值，可以通过多种方式（短信、邮箱）告知管理员进行排障。</w:t>
            </w:r>
          </w:p>
          <w:p>
            <w:pPr>
              <w:keepNext w:val="0"/>
              <w:keepLines w:val="0"/>
              <w:pageBreakBefore w:val="0"/>
              <w:numPr>
                <w:ilvl w:val="0"/>
                <w:numId w:val="4"/>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b/>
                <w:bCs/>
                <w:color w:val="000000" w:themeColor="text1"/>
                <w:sz w:val="21"/>
                <w:szCs w:val="21"/>
              </w:rPr>
              <w:t>＃</w:t>
            </w:r>
            <w:r>
              <w:rPr>
                <w:rFonts w:hint="eastAsia" w:ascii="宋体" w:hAnsi="宋体" w:eastAsia="宋体" w:cs="宋体"/>
                <w:color w:val="000000" w:themeColor="text1"/>
                <w:sz w:val="21"/>
                <w:szCs w:val="21"/>
              </w:rPr>
              <w:t>支持平台管理员进行资源的统一管理、运维，支持租户通过自服务门户申请、使用、管理、监控云资源; </w:t>
            </w:r>
          </w:p>
          <w:p>
            <w:pPr>
              <w:keepNext w:val="0"/>
              <w:keepLines w:val="0"/>
              <w:pageBreakBefore w:val="0"/>
              <w:numPr>
                <w:ilvl w:val="0"/>
                <w:numId w:val="4"/>
              </w:numPr>
              <w:kinsoku/>
              <w:wordWrap/>
              <w:overflowPunct/>
              <w:topLinePunct w:val="0"/>
              <w:autoSpaceDE/>
              <w:autoSpaceDN/>
              <w:bidi w:val="0"/>
              <w:adjustRightInd/>
              <w:snapToGrid/>
              <w:spacing w:line="300" w:lineRule="exact"/>
              <w:ind w:left="425" w:leftChars="0" w:hanging="425" w:firstLineChars="0"/>
              <w:textAlignment w:val="auto"/>
              <w:rPr>
                <w:rFonts w:hint="eastAsia" w:ascii="宋体" w:hAnsi="宋体" w:eastAsia="宋体" w:cs="宋体"/>
                <w:color w:val="000000" w:themeColor="text1"/>
                <w:sz w:val="21"/>
                <w:szCs w:val="21"/>
              </w:rPr>
            </w:pPr>
            <w:r>
              <w:rPr>
                <w:rFonts w:hint="eastAsia" w:ascii="宋体" w:hAnsi="宋体" w:eastAsia="宋体" w:cs="宋体"/>
                <w:b/>
                <w:bCs/>
                <w:color w:val="000000" w:themeColor="text1"/>
                <w:sz w:val="21"/>
                <w:szCs w:val="21"/>
              </w:rPr>
              <w:t>＃</w:t>
            </w:r>
            <w:r>
              <w:rPr>
                <w:rFonts w:hint="eastAsia" w:ascii="宋体" w:hAnsi="宋体" w:eastAsia="宋体" w:cs="宋体"/>
                <w:color w:val="000000" w:themeColor="text1"/>
                <w:sz w:val="21"/>
                <w:szCs w:val="21"/>
              </w:rPr>
              <w:t>支持与原有虚拟化平台、超融合平台的双向迁移，可将原平台的虚拟机在运行状态下迁移到本次建设的云平台，并支持虚拟机回迁；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03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5</w:t>
            </w:r>
          </w:p>
        </w:tc>
        <w:tc>
          <w:tcPr>
            <w:tcW w:w="11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统一监控运维平台</w:t>
            </w:r>
          </w:p>
        </w:tc>
        <w:tc>
          <w:tcPr>
            <w:tcW w:w="6000" w:type="dxa"/>
            <w:vAlign w:val="top"/>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1、支持常见网络设备</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2、支持常见服务器带外管理</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3、支持对Windows、Linux系统</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4、支持IIS、Apache、Nginx、tomcat等</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5、支持SQL Server、MySQL、Oracle等关系数据库</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6、支持Redis、mango db等非关系数据库</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7、支持对网站可用性监控</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8、支持通过API进行监控</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9、支持主流超融合系统监控</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10、支持在虚拟机环境中部署，最小部署实例为4C/8G/500G磁盘;</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11、最大支持1000个以上设备，50000个监控项，支持10000个告警项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103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6</w:t>
            </w:r>
          </w:p>
        </w:tc>
        <w:tc>
          <w:tcPr>
            <w:tcW w:w="11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在线迁移服务</w:t>
            </w:r>
          </w:p>
        </w:tc>
        <w:tc>
          <w:tcPr>
            <w:tcW w:w="6000" w:type="dxa"/>
            <w:vAlign w:val="top"/>
          </w:tcPr>
          <w:p>
            <w:pPr>
              <w:keepNext w:val="0"/>
              <w:keepLines w:val="0"/>
              <w:pageBreakBefore w:val="0"/>
              <w:numPr>
                <w:ilvl w:val="0"/>
                <w:numId w:val="5"/>
              </w:numPr>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w:t>
            </w:r>
            <w:r>
              <w:rPr>
                <w:rFonts w:hint="eastAsia" w:ascii="宋体" w:hAnsi="宋体" w:eastAsia="宋体" w:cs="宋体"/>
                <w:color w:val="auto"/>
                <w:sz w:val="21"/>
                <w:szCs w:val="21"/>
              </w:rPr>
              <w:t>云平台自带迁移工具，无需采购第三方迁移服务，本次提供迁移工具10个迁移授权声明；</w:t>
            </w:r>
          </w:p>
          <w:p>
            <w:pPr>
              <w:keepNext w:val="0"/>
              <w:keepLines w:val="0"/>
              <w:pageBreakBefore w:val="0"/>
              <w:numPr>
                <w:ilvl w:val="0"/>
                <w:numId w:val="5"/>
              </w:numPr>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支持在线增量迁移，全量数据迁移以及早期增量数据迁移期间不中断业务，仅最后一次增量数据迁移需要停虚拟机；</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b/>
                <w:bCs/>
                <w:color w:val="auto"/>
                <w:sz w:val="21"/>
                <w:szCs w:val="21"/>
              </w:rPr>
              <w:t>＃</w:t>
            </w:r>
            <w:r>
              <w:rPr>
                <w:rFonts w:hint="eastAsia" w:ascii="宋体" w:hAnsi="宋体" w:eastAsia="宋体" w:cs="宋体"/>
                <w:color w:val="auto"/>
                <w:sz w:val="21"/>
                <w:szCs w:val="21"/>
              </w:rPr>
              <w:t xml:space="preserve">迁移过程中对源机业务影响小，可以动态调整迁移时对源机IO占用、网络带宽占用，确保迁移过程不影响源主机正常运行； </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b/>
                <w:bCs/>
                <w:color w:val="auto"/>
                <w:sz w:val="21"/>
                <w:szCs w:val="21"/>
              </w:rPr>
              <w:t>＃</w:t>
            </w:r>
            <w:r>
              <w:rPr>
                <w:rFonts w:hint="eastAsia" w:ascii="宋体" w:hAnsi="宋体" w:eastAsia="宋体" w:cs="宋体"/>
                <w:color w:val="auto"/>
                <w:sz w:val="21"/>
                <w:szCs w:val="21"/>
              </w:rPr>
              <w:t>提供整体灾备重建迁移，支持任意秒历史点回退切换，确保在迁移到正常有效系统状态</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w:t>
            </w:r>
            <w:r>
              <w:rPr>
                <w:rFonts w:hint="eastAsia" w:ascii="宋体" w:hAnsi="宋体" w:eastAsia="宋体" w:cs="宋体"/>
                <w:b/>
                <w:bCs/>
                <w:color w:val="auto"/>
                <w:sz w:val="21"/>
                <w:szCs w:val="21"/>
              </w:rPr>
              <w:t>＃</w:t>
            </w:r>
            <w:r>
              <w:rPr>
                <w:rFonts w:hint="eastAsia" w:ascii="宋体" w:hAnsi="宋体" w:eastAsia="宋体" w:cs="宋体"/>
                <w:color w:val="auto"/>
                <w:sz w:val="21"/>
                <w:szCs w:val="21"/>
              </w:rPr>
              <w:t>支持针对VMware的无代理迁移，源机为VMware环境，可以不在源机安装agent；</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6、在虚拟化迁移验证系统中将选定验证的迁移点整机启动（OS、业务系统和数据），一键操作即</w:t>
            </w:r>
            <w:bookmarkStart w:id="0" w:name="_GoBack"/>
            <w:bookmarkEnd w:id="0"/>
            <w:r>
              <w:rPr>
                <w:rFonts w:hint="eastAsia" w:ascii="宋体" w:hAnsi="宋体" w:eastAsia="宋体" w:cs="宋体"/>
                <w:color w:val="auto"/>
                <w:sz w:val="21"/>
                <w:szCs w:val="21"/>
              </w:rPr>
              <w:t>可实现自动化构建虚拟化迁移验证环境，管理员可像真实生产环境中一样登录虚拟化迁移验证系统，极简验证迁移系统的可靠性；</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7、本次提供原厂工程师驻场进行关键业务系统迁移，提供10个关键虚拟机（主机）的迁移服务；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03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auto"/>
                <w:sz w:val="21"/>
                <w:szCs w:val="21"/>
              </w:rPr>
              <w:t>7</w:t>
            </w:r>
          </w:p>
        </w:tc>
        <w:tc>
          <w:tcPr>
            <w:tcW w:w="11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rPr>
            </w:pPr>
            <w:r>
              <w:rPr>
                <w:rFonts w:hint="eastAsia" w:ascii="宋体" w:hAnsi="宋体" w:eastAsia="宋体" w:cs="宋体"/>
                <w:color w:val="auto"/>
                <w:sz w:val="21"/>
                <w:szCs w:val="21"/>
              </w:rPr>
              <w:t>其他</w:t>
            </w:r>
          </w:p>
        </w:tc>
        <w:tc>
          <w:tcPr>
            <w:tcW w:w="6000" w:type="dxa"/>
            <w:vAlign w:val="top"/>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交货地点：招标人指定地点。</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交货期：合同签订之日起15个工作日内全部交货并安装调试完毕。</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交货方式：由中标</w:t>
            </w:r>
            <w:r>
              <w:rPr>
                <w:rFonts w:hint="eastAsia" w:ascii="宋体" w:hAnsi="宋体" w:eastAsia="宋体" w:cs="宋体"/>
                <w:color w:val="auto"/>
                <w:sz w:val="21"/>
                <w:szCs w:val="21"/>
                <w:lang w:val="en-US" w:eastAsia="zh-CN"/>
              </w:rPr>
              <w:t>方</w:t>
            </w:r>
            <w:r>
              <w:rPr>
                <w:rFonts w:hint="eastAsia" w:ascii="宋体" w:hAnsi="宋体" w:eastAsia="宋体" w:cs="宋体"/>
                <w:color w:val="auto"/>
                <w:sz w:val="21"/>
                <w:szCs w:val="21"/>
              </w:rPr>
              <w:t>负责配送、安装、调试、培训等。</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自交货验收完毕之日算起，所有产品质保3年。</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提供该货物的技术培训、技术支持和维修巡检服务。</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投标供应商须承诺，服务期内出现紧急故障情况，公司应在收到服务请求后30分钟内响应，必要时2个小时内到现场，4个小时内解决问题，不能修复的，提供备用机器以保证系统正常使用。</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应保证使用方在使用该货物或其任何一部分时，不受第三方侵权指控。同时，投标供应商不得向第三方泄露采购机构提供的技术文件等资料。</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需在西安设立服务团队</w:t>
            </w:r>
            <w:r>
              <w:rPr>
                <w:rFonts w:hint="eastAsia" w:ascii="宋体" w:hAnsi="宋体" w:eastAsia="宋体" w:cs="宋体"/>
                <w:color w:val="auto"/>
                <w:sz w:val="21"/>
                <w:szCs w:val="21"/>
                <w:lang w:val="en-US" w:eastAsia="zh-CN"/>
              </w:rPr>
              <w:t>与</w:t>
            </w:r>
            <w:r>
              <w:rPr>
                <w:rFonts w:hint="eastAsia" w:ascii="宋体" w:hAnsi="宋体" w:eastAsia="宋体" w:cs="宋体"/>
                <w:color w:val="auto"/>
                <w:sz w:val="21"/>
                <w:szCs w:val="21"/>
              </w:rPr>
              <w:t>备品备件库。</w:t>
            </w:r>
          </w:p>
        </w:tc>
      </w:tr>
    </w:tbl>
    <w:p>
      <w:pPr>
        <w:rPr>
          <w:rFonts w:ascii="宋体" w:hAnsi="宋体"/>
          <w:sz w:val="24"/>
          <w:szCs w:val="24"/>
        </w:rPr>
      </w:pPr>
      <w:r>
        <w:rPr>
          <w:rFonts w:hint="eastAsia" w:ascii="宋体" w:hAnsi="宋体"/>
          <w:sz w:val="24"/>
          <w:szCs w:val="24"/>
        </w:rPr>
        <w:t>说明：功能要求、配置清单为必备要求，从功能角度提出；技术参数应体现设备档次要求，参数中区分“★”“＃”参数，其中“★”参数为核心参数，为必须满足参数；“＃”参数为重要参数，在采购评审中分值较高。</w:t>
      </w:r>
    </w:p>
    <w:p/>
    <w:p/>
    <w:p>
      <w:pPr>
        <w:widowControl/>
        <w:jc w:val="left"/>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0CAE44"/>
    <w:multiLevelType w:val="singleLevel"/>
    <w:tmpl w:val="C20CAE44"/>
    <w:lvl w:ilvl="0" w:tentative="0">
      <w:start w:val="1"/>
      <w:numFmt w:val="decimal"/>
      <w:lvlText w:val="%1."/>
      <w:lvlJc w:val="left"/>
      <w:pPr>
        <w:ind w:left="674" w:hanging="425"/>
      </w:pPr>
      <w:rPr>
        <w:rFonts w:hint="default"/>
      </w:rPr>
    </w:lvl>
  </w:abstractNum>
  <w:abstractNum w:abstractNumId="1">
    <w:nsid w:val="CA193AD6"/>
    <w:multiLevelType w:val="singleLevel"/>
    <w:tmpl w:val="CA193AD6"/>
    <w:lvl w:ilvl="0" w:tentative="0">
      <w:start w:val="1"/>
      <w:numFmt w:val="decimal"/>
      <w:suff w:val="nothing"/>
      <w:lvlText w:val="%1、"/>
      <w:lvlJc w:val="left"/>
    </w:lvl>
  </w:abstractNum>
  <w:abstractNum w:abstractNumId="2">
    <w:nsid w:val="CB733B4C"/>
    <w:multiLevelType w:val="singleLevel"/>
    <w:tmpl w:val="CB733B4C"/>
    <w:lvl w:ilvl="0" w:tentative="0">
      <w:start w:val="1"/>
      <w:numFmt w:val="decimal"/>
      <w:lvlText w:val="%1."/>
      <w:lvlJc w:val="left"/>
      <w:pPr>
        <w:ind w:left="425" w:hanging="425"/>
      </w:pPr>
      <w:rPr>
        <w:rFonts w:hint="default"/>
      </w:rPr>
    </w:lvl>
  </w:abstractNum>
  <w:abstractNum w:abstractNumId="3">
    <w:nsid w:val="5B268FEA"/>
    <w:multiLevelType w:val="singleLevel"/>
    <w:tmpl w:val="5B268FEA"/>
    <w:lvl w:ilvl="0" w:tentative="0">
      <w:start w:val="1"/>
      <w:numFmt w:val="decimal"/>
      <w:lvlText w:val="%1."/>
      <w:lvlJc w:val="left"/>
      <w:pPr>
        <w:ind w:left="425" w:hanging="425"/>
      </w:pPr>
      <w:rPr>
        <w:rFonts w:hint="default"/>
      </w:rPr>
    </w:lvl>
  </w:abstractNum>
  <w:abstractNum w:abstractNumId="4">
    <w:nsid w:val="7F20FAF5"/>
    <w:multiLevelType w:val="singleLevel"/>
    <w:tmpl w:val="7F20FAF5"/>
    <w:lvl w:ilvl="0" w:tentative="0">
      <w:start w:val="1"/>
      <w:numFmt w:val="decimal"/>
      <w:lvlText w:val="%1."/>
      <w:lvlJc w:val="left"/>
      <w:pPr>
        <w:ind w:left="425" w:hanging="425"/>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hhMTAzZmE3ZDIzOTZmZmEyMGE1OWY1NmFkNGExMDYifQ=="/>
  </w:docVars>
  <w:rsids>
    <w:rsidRoot w:val="00013801"/>
    <w:rsid w:val="00013801"/>
    <w:rsid w:val="00016409"/>
    <w:rsid w:val="00022331"/>
    <w:rsid w:val="00026DD7"/>
    <w:rsid w:val="000F6CE8"/>
    <w:rsid w:val="00147CAB"/>
    <w:rsid w:val="00172D05"/>
    <w:rsid w:val="001A2FEE"/>
    <w:rsid w:val="001C7623"/>
    <w:rsid w:val="002227E1"/>
    <w:rsid w:val="002C15C9"/>
    <w:rsid w:val="00405E64"/>
    <w:rsid w:val="00517A6A"/>
    <w:rsid w:val="00543076"/>
    <w:rsid w:val="006948E7"/>
    <w:rsid w:val="006B540F"/>
    <w:rsid w:val="00741F4F"/>
    <w:rsid w:val="007A62BB"/>
    <w:rsid w:val="007E7311"/>
    <w:rsid w:val="007F2C31"/>
    <w:rsid w:val="00824497"/>
    <w:rsid w:val="008D44F6"/>
    <w:rsid w:val="00920B8A"/>
    <w:rsid w:val="00976101"/>
    <w:rsid w:val="00982425"/>
    <w:rsid w:val="00A2449A"/>
    <w:rsid w:val="00A464CA"/>
    <w:rsid w:val="00B122AB"/>
    <w:rsid w:val="00B3701E"/>
    <w:rsid w:val="00BA041F"/>
    <w:rsid w:val="00BB7FD1"/>
    <w:rsid w:val="00BE4C63"/>
    <w:rsid w:val="00C55558"/>
    <w:rsid w:val="00D67D1E"/>
    <w:rsid w:val="00D76FC6"/>
    <w:rsid w:val="00D809CA"/>
    <w:rsid w:val="00D84242"/>
    <w:rsid w:val="00D97FD2"/>
    <w:rsid w:val="00DA17D1"/>
    <w:rsid w:val="00DA669C"/>
    <w:rsid w:val="00E46455"/>
    <w:rsid w:val="00E56E7F"/>
    <w:rsid w:val="00EA39C5"/>
    <w:rsid w:val="00EA6DB4"/>
    <w:rsid w:val="00F74C1F"/>
    <w:rsid w:val="04F96FF0"/>
    <w:rsid w:val="07CA4C73"/>
    <w:rsid w:val="08033CE1"/>
    <w:rsid w:val="099B68C7"/>
    <w:rsid w:val="0AC463A5"/>
    <w:rsid w:val="0DBA2C98"/>
    <w:rsid w:val="0FBE624E"/>
    <w:rsid w:val="14EB597A"/>
    <w:rsid w:val="17F3167D"/>
    <w:rsid w:val="18925339"/>
    <w:rsid w:val="1A8B64E4"/>
    <w:rsid w:val="1D063634"/>
    <w:rsid w:val="1E3218BF"/>
    <w:rsid w:val="1E8079E2"/>
    <w:rsid w:val="20C444FE"/>
    <w:rsid w:val="226B2757"/>
    <w:rsid w:val="23FE3883"/>
    <w:rsid w:val="24284DA4"/>
    <w:rsid w:val="24CA03EC"/>
    <w:rsid w:val="290D4568"/>
    <w:rsid w:val="297F3371"/>
    <w:rsid w:val="29A905EC"/>
    <w:rsid w:val="2AED1993"/>
    <w:rsid w:val="2B68541E"/>
    <w:rsid w:val="2BF1319B"/>
    <w:rsid w:val="2FC242FE"/>
    <w:rsid w:val="302A1EA4"/>
    <w:rsid w:val="30442F65"/>
    <w:rsid w:val="305A30B0"/>
    <w:rsid w:val="310B3A83"/>
    <w:rsid w:val="320329AC"/>
    <w:rsid w:val="332E1CAB"/>
    <w:rsid w:val="34BE087B"/>
    <w:rsid w:val="3627310D"/>
    <w:rsid w:val="376F3DEA"/>
    <w:rsid w:val="37894668"/>
    <w:rsid w:val="38C5302D"/>
    <w:rsid w:val="39F9309F"/>
    <w:rsid w:val="3B2D43E9"/>
    <w:rsid w:val="3C724C66"/>
    <w:rsid w:val="3F012022"/>
    <w:rsid w:val="41683BAB"/>
    <w:rsid w:val="43CC2345"/>
    <w:rsid w:val="43F73AC9"/>
    <w:rsid w:val="45014A5B"/>
    <w:rsid w:val="45653619"/>
    <w:rsid w:val="45CD2481"/>
    <w:rsid w:val="46BB593B"/>
    <w:rsid w:val="488D6182"/>
    <w:rsid w:val="48931F3C"/>
    <w:rsid w:val="4B266941"/>
    <w:rsid w:val="4B794181"/>
    <w:rsid w:val="4D6C0FAE"/>
    <w:rsid w:val="4D8A2EFD"/>
    <w:rsid w:val="505428F9"/>
    <w:rsid w:val="50A91BA0"/>
    <w:rsid w:val="51EB7BBA"/>
    <w:rsid w:val="558C6ABB"/>
    <w:rsid w:val="55F13A20"/>
    <w:rsid w:val="56903F5F"/>
    <w:rsid w:val="569F0646"/>
    <w:rsid w:val="581D5C13"/>
    <w:rsid w:val="58B73A25"/>
    <w:rsid w:val="5A3317D1"/>
    <w:rsid w:val="5A4530C0"/>
    <w:rsid w:val="5A486F4C"/>
    <w:rsid w:val="5BAE6D9A"/>
    <w:rsid w:val="5D5061F6"/>
    <w:rsid w:val="5D9E6F62"/>
    <w:rsid w:val="5EB358B0"/>
    <w:rsid w:val="61E138C1"/>
    <w:rsid w:val="664E45D4"/>
    <w:rsid w:val="68E65C61"/>
    <w:rsid w:val="6BDD334B"/>
    <w:rsid w:val="6DFF7AEB"/>
    <w:rsid w:val="6F323797"/>
    <w:rsid w:val="70A31B5E"/>
    <w:rsid w:val="71600CA6"/>
    <w:rsid w:val="72DC3010"/>
    <w:rsid w:val="75A513A9"/>
    <w:rsid w:val="774E334F"/>
    <w:rsid w:val="78D473BF"/>
    <w:rsid w:val="791726CD"/>
    <w:rsid w:val="7A1268B5"/>
    <w:rsid w:val="7A1B7E60"/>
    <w:rsid w:val="7C0B7A60"/>
    <w:rsid w:val="7DA57A41"/>
    <w:rsid w:val="7E582ABF"/>
    <w:rsid w:val="7ED21F55"/>
    <w:rsid w:val="7F3F55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widowControl/>
      <w:spacing w:before="100" w:beforeAutospacing="1" w:after="100" w:afterAutospacing="1"/>
      <w:jc w:val="left"/>
      <w:outlineLvl w:val="0"/>
    </w:pPr>
    <w:rPr>
      <w:rFonts w:ascii="宋体" w:hAnsi="宋体" w:cs="宋体"/>
      <w:b/>
      <w:bCs/>
      <w:kern w:val="36"/>
      <w:sz w:val="28"/>
      <w:szCs w:val="4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ind w:firstLine="555"/>
    </w:pPr>
    <w:rPr>
      <w:lang w:val="zh-CN"/>
    </w:rPr>
  </w:style>
  <w:style w:type="paragraph" w:styleId="5">
    <w:name w:val="annotation text"/>
    <w:basedOn w:val="1"/>
    <w:unhideWhenUsed/>
    <w:qFormat/>
    <w:uiPriority w:val="99"/>
    <w:pPr>
      <w:jc w:val="left"/>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unhideWhenUsed/>
    <w:qFormat/>
    <w:uiPriority w:val="99"/>
    <w:rPr>
      <w:sz w:val="21"/>
      <w:szCs w:val="21"/>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paragraph" w:customStyle="1" w:styleId="14">
    <w:name w:val="无间隔1"/>
    <w:qFormat/>
    <w:uiPriority w:val="1"/>
    <w:pPr>
      <w:spacing w:line="300" w:lineRule="auto"/>
    </w:pPr>
    <w:rPr>
      <w:rFonts w:ascii="宋体" w:hAnsi="宋体" w:eastAsia="宋体" w:cstheme="minorBidi"/>
      <w:kern w:val="2"/>
      <w:sz w:val="21"/>
      <w:szCs w:val="24"/>
      <w:lang w:val="en-US" w:eastAsia="zh-CN" w:bidi="ar-SA"/>
    </w:rPr>
  </w:style>
  <w:style w:type="paragraph" w:customStyle="1" w:styleId="15">
    <w:name w:val="无间隔11"/>
    <w:qFormat/>
    <w:uiPriority w:val="1"/>
    <w:pPr>
      <w:widowControl w:val="0"/>
      <w:spacing w:line="300" w:lineRule="auto"/>
    </w:pPr>
    <w:rPr>
      <w:rFonts w:ascii="Calibri" w:hAnsi="Calibri" w:eastAsia="宋体" w:cs="黑体"/>
      <w:kern w:val="2"/>
      <w:sz w:val="21"/>
      <w:szCs w:val="22"/>
      <w:lang w:val="en-US" w:eastAsia="zh-CN" w:bidi="ar-SA"/>
    </w:rPr>
  </w:style>
  <w:style w:type="paragraph" w:styleId="16">
    <w:name w:val="List Paragraph"/>
    <w:basedOn w:val="1"/>
    <w:qFormat/>
    <w:uiPriority w:val="34"/>
    <w:pPr>
      <w:ind w:firstLine="420" w:firstLineChars="200"/>
    </w:pPr>
    <w:rPr>
      <w:rFonts w:ascii="Calibri" w:hAnsi="Calibri" w:cs="黑体"/>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3597</Words>
  <Characters>3882</Characters>
  <Lines>25</Lines>
  <Paragraphs>7</Paragraphs>
  <TotalTime>19</TotalTime>
  <ScaleCrop>false</ScaleCrop>
  <LinksUpToDate>false</LinksUpToDate>
  <CharactersWithSpaces>3899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2021-01-28T02:01:00Z</dcterms:created>
  <dc:creator>1558579278@qq.com</dc:creator>
  <cp:lastModifiedBy>wangning01</cp:lastModifiedBy>
  <dcterms:modified xsi:type="dcterms:W3CDTF">2023-01-11T08:02:28Z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F591C8CBE3174022B6A7F8632FE748F3</vt:lpwstr>
  </property>
</Properties>
</file>