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72" w:lineRule="exact"/>
        <w:ind w:left="442" w:leftChars="-88" w:hanging="627" w:hangingChars="299"/>
        <w:jc w:val="left"/>
        <w:rPr>
          <w:rFonts w:ascii="黑体" w:hAnsi="黑体" w:eastAsia="黑体" w:cs="宋体"/>
          <w:szCs w:val="32"/>
        </w:rPr>
      </w:pPr>
      <w:r>
        <w:rPr>
          <w:rFonts w:hint="eastAsia" w:ascii="黑体" w:hAnsi="黑体" w:eastAsia="黑体" w:cs="宋体"/>
          <w:szCs w:val="32"/>
        </w:rPr>
        <w:t>附件4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集中采购项目</w:t>
      </w:r>
      <w:r>
        <w:rPr>
          <w:rFonts w:eastAsia="方正小标宋简体"/>
          <w:sz w:val="44"/>
          <w:szCs w:val="44"/>
        </w:rPr>
        <w:t>技术参数表</w:t>
      </w:r>
    </w:p>
    <w:p>
      <w:pPr>
        <w:ind w:left="-360"/>
        <w:jc w:val="center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p>
      <w:pPr>
        <w:ind w:left="-359" w:leftChars="-171" w:firstLine="236" w:firstLineChars="98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科室名称：国家分子医学转化中心             填表时间：</w:t>
      </w:r>
      <w:r>
        <w:rPr>
          <w:rFonts w:ascii="楷体_GB2312" w:eastAsia="楷体_GB2312"/>
          <w:b/>
          <w:sz w:val="24"/>
        </w:rPr>
        <w:t>2023</w:t>
      </w:r>
      <w:r>
        <w:rPr>
          <w:rFonts w:hint="eastAsia" w:ascii="楷体_GB2312" w:eastAsia="楷体_GB2312"/>
          <w:b/>
          <w:sz w:val="24"/>
        </w:rPr>
        <w:t xml:space="preserve">年 </w:t>
      </w:r>
      <w:r>
        <w:rPr>
          <w:rFonts w:ascii="楷体_GB2312" w:eastAsia="楷体_GB2312"/>
          <w:b/>
          <w:sz w:val="24"/>
        </w:rPr>
        <w:t>3</w:t>
      </w:r>
      <w:r>
        <w:rPr>
          <w:rFonts w:hint="eastAsia" w:ascii="楷体_GB2312" w:eastAsia="楷体_GB2312"/>
          <w:b/>
          <w:sz w:val="24"/>
        </w:rPr>
        <w:t>月</w:t>
      </w:r>
      <w:r>
        <w:rPr>
          <w:rFonts w:ascii="楷体_GB2312" w:eastAsia="楷体_GB2312"/>
          <w:b/>
          <w:sz w:val="24"/>
        </w:rPr>
        <w:t>15</w:t>
      </w:r>
      <w:r>
        <w:rPr>
          <w:rFonts w:hint="eastAsia" w:ascii="楷体_GB2312" w:eastAsia="楷体_GB2312"/>
          <w:b/>
          <w:sz w:val="24"/>
        </w:rPr>
        <w:t>日</w:t>
      </w:r>
    </w:p>
    <w:tbl>
      <w:tblPr>
        <w:tblStyle w:val="6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44"/>
        <w:gridCol w:w="1415"/>
        <w:gridCol w:w="743"/>
        <w:gridCol w:w="1354"/>
        <w:gridCol w:w="517"/>
        <w:gridCol w:w="699"/>
        <w:gridCol w:w="1503"/>
        <w:gridCol w:w="11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8016" w:type="dxa"/>
            <w:gridSpan w:val="8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摇摆式生物反应器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4728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09.00</w:t>
            </w:r>
            <w:r>
              <w:rPr>
                <w:rFonts w:hint="eastAsia" w:ascii="宋体" w:hAnsi="宋体"/>
                <w:sz w:val="24"/>
              </w:rPr>
              <w:t>万人民币（免税）</w:t>
            </w:r>
          </w:p>
        </w:tc>
        <w:tc>
          <w:tcPr>
            <w:tcW w:w="150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数量/计量单位</w:t>
            </w:r>
          </w:p>
        </w:tc>
        <w:tc>
          <w:tcPr>
            <w:tcW w:w="1785" w:type="dxa"/>
            <w:gridSpan w:val="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经费来源</w:t>
            </w:r>
          </w:p>
        </w:tc>
        <w:tc>
          <w:tcPr>
            <w:tcW w:w="4728" w:type="dxa"/>
            <w:gridSpan w:val="5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后勤科研实验室建设</w:t>
            </w:r>
          </w:p>
        </w:tc>
        <w:tc>
          <w:tcPr>
            <w:tcW w:w="1503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  <w:tc>
          <w:tcPr>
            <w:tcW w:w="1785" w:type="dxa"/>
            <w:gridSpan w:val="2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2115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联系人</w:t>
            </w:r>
          </w:p>
        </w:tc>
        <w:tc>
          <w:tcPr>
            <w:tcW w:w="2158" w:type="dxa"/>
            <w:gridSpan w:val="2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孙秀璇</w:t>
            </w:r>
          </w:p>
        </w:tc>
        <w:tc>
          <w:tcPr>
            <w:tcW w:w="1871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办公电话/手机</w:t>
            </w:r>
          </w:p>
        </w:tc>
        <w:tc>
          <w:tcPr>
            <w:tcW w:w="3987" w:type="dxa"/>
            <w:gridSpan w:val="4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774547/13572968849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3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131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用于小规模快速细胞培养，可实现从产品开发到生产规模的无缝转移。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31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20L/50L波浪袋生物反应器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培养袋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★</w:t>
            </w:r>
            <w:r>
              <w:rPr>
                <w:rFonts w:ascii="Times New Roman" w:hAnsi="Times New Roman"/>
                <w:b/>
                <w:bCs/>
                <w:sz w:val="24"/>
              </w:rPr>
              <w:t>工作体积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0.1-25L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★</w:t>
            </w:r>
            <w:r>
              <w:rPr>
                <w:rFonts w:ascii="Times New Roman" w:hAnsi="Times New Roman"/>
                <w:color w:val="000000"/>
                <w:sz w:val="24"/>
              </w:rPr>
              <w:t>数据记录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单机满足GMP相关法规要求以及数据记录，可实现本地储存、批次管理、批次报告、Recipe等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摇摆速度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8-42rpm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摇摆角度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4-10°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温控范围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RT-40℃，具有高温自动断电保护功能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6-8pH，分辨率0.01pH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DO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0-100%，分辨率0.1%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★</w:t>
            </w:r>
            <w:r>
              <w:rPr>
                <w:rFonts w:ascii="Times New Roman" w:hAnsi="Times New Roman"/>
                <w:color w:val="000000"/>
                <w:sz w:val="24"/>
              </w:rPr>
              <w:t>蠕动泵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2个变速内置泵，2个外置泵，每个蠕动泵功能自定义并且可顺时针和逆时针双向蠕动。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＃</w:t>
            </w:r>
            <w:r>
              <w:rPr>
                <w:rFonts w:ascii="Times New Roman" w:hAnsi="Times New Roman"/>
                <w:color w:val="000000"/>
                <w:sz w:val="24"/>
              </w:rPr>
              <w:t>气体质量流量计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配备4个，精度为满量程的1%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＃升级预留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配备2个0-10mV，2个4-20mA信号接口，便于后期拓展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Segoe UI Symbol" w:hAnsi="Segoe UI Symbol" w:cs="Segoe UI Symbol"/>
                <w:color w:val="000000"/>
                <w:sz w:val="24"/>
              </w:rPr>
              <w:t>★</w:t>
            </w:r>
            <w:r>
              <w:rPr>
                <w:rFonts w:ascii="Times New Roman" w:hAnsi="Times New Roman"/>
                <w:color w:val="000000"/>
                <w:sz w:val="24"/>
              </w:rPr>
              <w:t>反应器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培养袋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厚度不小于400μm，适应各种细胞的生长，袋子与一次性反应器袋子、以及下游配储液袋，以及原液冻存袋膜材保持一致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0131" w:type="dxa"/>
            <w:gridSpan w:val="1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采购项目概况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ind w:firstLine="22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2"/>
              </w:rPr>
              <w:t>摇摆式生物反应器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预算安排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ind w:firstLine="22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经费已经落实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采购标底的数量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ind w:firstLine="22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采购标的的交付时间和地点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pStyle w:val="13"/>
              <w:ind w:left="0" w:firstLine="0"/>
              <w:rPr>
                <w:color w:val="000000"/>
                <w:kern w:val="0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2"/>
                <w:lang w:val="en-US" w:eastAsia="zh-CN"/>
              </w:rPr>
              <w:t>交货期：合同签订之日起</w:t>
            </w:r>
            <w:r>
              <w:rPr>
                <w:color w:val="000000"/>
                <w:kern w:val="0"/>
                <w:szCs w:val="22"/>
                <w:lang w:val="en-US" w:eastAsia="zh-CN"/>
              </w:rPr>
              <w:t>8</w:t>
            </w:r>
            <w:r>
              <w:rPr>
                <w:rFonts w:hint="eastAsia"/>
                <w:color w:val="000000"/>
                <w:kern w:val="0"/>
                <w:szCs w:val="22"/>
                <w:lang w:val="en-US" w:eastAsia="zh-CN"/>
              </w:rPr>
              <w:t>个月内全部交货并安装调试完毕。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交货地点：招标人指定地点。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采购标底的包装运输、专用工具、备品备件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交货方式：由中标供应商负责免费配送、安装、调试、培训等。投标供应商须提供生命周期内零备件和消耗品清单，并明确供应周期和价格等优惠条件。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质量保证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自交货验收完毕之日算起，所有产品质保贰年。投标供应商对提供的货物在质保期内，因产品质量而导致的缺陷，必须免费提供包修、包换、包退服务，因此导致的损失采购单位有权向中标供应商追偿。超出质保期后，供应商应当提供上门维修服务，仅收取成本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售后服务要求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投标供应商须承诺提供该货物的技术培训、技术支持和维修巡检服务，维修响应12小时内响应，24小时内到达客户现场。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付款及结算方式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ind w:firstLine="220" w:firstLineChars="10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1.项目不预付货款，货物运达甲方使用科室指定地点并验收合格后，乙方收集发运接收单、发票、验收报告等资料，提交进口代理公司办理结算手续，进口代理公司在收到甲 方支付货款后 10 天内向乙方支付货款。</w:t>
            </w:r>
          </w:p>
          <w:p>
            <w:pPr>
              <w:ind w:firstLine="220" w:firstLineChars="10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2.合同价格结算单位为人民币。免税项目由甲方负责办理相关手续。进口代理公司由甲方指定。</w:t>
            </w:r>
          </w:p>
          <w:p>
            <w:pPr>
              <w:ind w:firstLine="220" w:firstLineChars="100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(1)甲方承担外贸代理费和银行手续费;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(2)乙方承担设备的报关、报检、提货、仓储、运输、检疫、港杂费等费用。另外， 由于进口贸易关系导致货物所加征的关税，由乙方承担。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报价要求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所有报价均以人民币为货币单位，报价应包括货款、标准附件、备品备件、专用工具、包装、安装、调试、培训、保修等费用。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保密和专利要求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投标供应商应保证使用方在使用该货物或其任何一部分时，不受第三方侵权指控。同时，投标供应商不得向第三方泄露采购机构提供的技术文件等资料。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1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实施建议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采购方式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合同履约要求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供应商应具有保证完成本项目所必须的人力和财力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采购包划分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不接受分包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供应商资格条件设定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1、满足《中华人民共和国政府采购法》第二十二条规定；</w:t>
            </w:r>
          </w:p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、本项目的特定资格要求：销售商须具有三级以内（含三级）产品代理授权书（授权时间为1年（含）以上的代理授权）或生产企业（全国（大区）总代理）出具的针对本项目的专项授权书等相关证明材料。3、供应商应具有良好的信用记录，近三年无重大违法、违规、违约行为：未被列入“信用中国”网站(www.creditchina.gov.cn)“失信被执行人”、“重大税收违法案件当事人名单”或“政府采购严重违法失信名单”；未被列入中国政府采购网(www.ccgp.gov.cn)政府采购严重违法失信行为信息记录名单 (上述资格要求，提供网站查询结果截图，查询时间自招标公告发布之日起至开标截止之日止)。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评审方法选择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综合评分法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安全保密要求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投标人不得以任何方式泄露或传播本次采购项目相关信息。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5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需求科室负责人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孙秀璇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5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机关业务部门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基础医学院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530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  <w:lang w:val="en-US" w:eastAsia="zh-CN"/>
              </w:rPr>
              <w:t>专家组</w:t>
            </w:r>
          </w:p>
        </w:tc>
        <w:tc>
          <w:tcPr>
            <w:tcW w:w="6601" w:type="dxa"/>
            <w:gridSpan w:val="7"/>
            <w:vAlign w:val="center"/>
          </w:tcPr>
          <w:p>
            <w:pPr>
              <w:widowControl/>
              <w:spacing w:line="360" w:lineRule="auto"/>
              <w:rPr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ind w:left="720" w:hanging="720" w:hangingChars="300"/>
        <w:rPr>
          <w:rFonts w:ascii="仿宋_GB2312" w:eastAsia="仿宋_GB2312"/>
          <w:sz w:val="24"/>
        </w:rPr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DED017F-EFAF-49A0-9FF8-A308028A78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1055A10-5039-4584-B0A5-50E5AD4C8FA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E740FF8-7A32-4E59-BA41-225B88D0AF50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F09A91BA-5B26-43ED-AFA5-6A11182CA7F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DD35C182-6D26-4E37-B3CE-28ADE0940E7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C0B6D941-BD6F-4F06-BD64-B2350297FE9B}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  <w:embedRegular r:id="rId7" w:fontKey="{B0A5B507-423C-4604-9583-E80324692C1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1M2ZmNzk5N2Y3ZDQyYjFhNjY5YmM5OWY0MThhYTEifQ=="/>
  </w:docVars>
  <w:rsids>
    <w:rsidRoot w:val="00FF6CAE"/>
    <w:rsid w:val="00050550"/>
    <w:rsid w:val="00167952"/>
    <w:rsid w:val="001D62EA"/>
    <w:rsid w:val="003B0BA1"/>
    <w:rsid w:val="004518A9"/>
    <w:rsid w:val="00456F16"/>
    <w:rsid w:val="0046069D"/>
    <w:rsid w:val="00506FB8"/>
    <w:rsid w:val="0051565C"/>
    <w:rsid w:val="00584A39"/>
    <w:rsid w:val="00615FD1"/>
    <w:rsid w:val="006D1E50"/>
    <w:rsid w:val="006F6946"/>
    <w:rsid w:val="00793073"/>
    <w:rsid w:val="00841A4A"/>
    <w:rsid w:val="00884E79"/>
    <w:rsid w:val="0091010C"/>
    <w:rsid w:val="0097766C"/>
    <w:rsid w:val="009D1B9D"/>
    <w:rsid w:val="009E41AB"/>
    <w:rsid w:val="009E553A"/>
    <w:rsid w:val="00AA011E"/>
    <w:rsid w:val="00AC2736"/>
    <w:rsid w:val="00AD6A68"/>
    <w:rsid w:val="00B13B83"/>
    <w:rsid w:val="00B730EC"/>
    <w:rsid w:val="00B73E5A"/>
    <w:rsid w:val="00B74B23"/>
    <w:rsid w:val="00C03D99"/>
    <w:rsid w:val="00D15E45"/>
    <w:rsid w:val="00D2505F"/>
    <w:rsid w:val="00D37242"/>
    <w:rsid w:val="00E45680"/>
    <w:rsid w:val="00FF6CAE"/>
    <w:rsid w:val="51B172CF"/>
    <w:rsid w:val="55D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1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1">
    <w:name w:val="正文文本首行缩进 2 字符"/>
    <w:basedOn w:val="10"/>
    <w:link w:val="2"/>
    <w:qFormat/>
    <w:uiPriority w:val="99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spacing w:line="589" w:lineRule="exact"/>
      <w:ind w:firstLine="420" w:firstLineChars="200"/>
    </w:pPr>
    <w:rPr>
      <w:szCs w:val="22"/>
    </w:rPr>
  </w:style>
  <w:style w:type="paragraph" w:customStyle="1" w:styleId="13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1701</Words>
  <Characters>1900</Characters>
  <Lines>14</Lines>
  <Paragraphs>4</Paragraphs>
  <TotalTime>2</TotalTime>
  <ScaleCrop>false</ScaleCrop>
  <LinksUpToDate>false</LinksUpToDate>
  <CharactersWithSpaces>1925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2023-01-10T05:40:00Z</dcterms:created>
  <dc:creator>ThinkPad</dc:creator>
  <cp:lastModifiedBy></cp:lastModifiedBy>
  <dcterms:modified xsi:type="dcterms:W3CDTF">2023-04-20T01:49:56Z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D7677DB338C541028F7CBF9462E9221D_12</vt:lpwstr>
  </property>
</Properties>
</file>