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宋体" w:hAnsi="宋体" w:cs="黑体"/>
          <w:snapToGrid w:val="0"/>
          <w:sz w:val="24"/>
        </w:rPr>
      </w:pPr>
      <w:r>
        <w:rPr>
          <w:rFonts w:hint="eastAsia" w:ascii="宋体" w:hAnsi="宋体" w:cs="黑体"/>
          <w:snapToGrid w:val="0"/>
          <w:sz w:val="24"/>
        </w:rPr>
        <w:t>公告附件：</w:t>
      </w:r>
    </w:p>
    <w:tbl>
      <w:tblPr>
        <w:tblStyle w:val="16"/>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002"/>
        <w:gridCol w:w="918"/>
        <w:gridCol w:w="622"/>
        <w:gridCol w:w="1011"/>
        <w:gridCol w:w="2251"/>
        <w:gridCol w:w="3277"/>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7" w:type="dxa"/>
            <w:gridSpan w:val="3"/>
            <w:vAlign w:val="center"/>
          </w:tcPr>
          <w:p>
            <w:pPr>
              <w:jc w:val="center"/>
              <w:rPr>
                <w:rFonts w:ascii="宋体" w:hAnsi="宋体" w:cs="宋体"/>
                <w:color w:val="auto"/>
              </w:rPr>
            </w:pPr>
            <w:bookmarkStart w:id="0" w:name="_Hlk98601959"/>
            <w:bookmarkStart w:id="1" w:name="_Hlk50096648"/>
            <w:r>
              <w:rPr>
                <w:rFonts w:hint="eastAsia" w:ascii="宋体" w:hAnsi="宋体" w:cs="宋体"/>
                <w:color w:val="auto"/>
              </w:rPr>
              <w:t>项目编号</w:t>
            </w:r>
          </w:p>
        </w:tc>
        <w:tc>
          <w:tcPr>
            <w:tcW w:w="7170" w:type="dxa"/>
            <w:gridSpan w:val="5"/>
            <w:vAlign w:val="center"/>
          </w:tcPr>
          <w:p>
            <w:pPr>
              <w:rPr>
                <w:rFonts w:ascii="宋体" w:hAnsi="宋体" w:cs="宋体"/>
                <w:color w:val="auto"/>
              </w:rPr>
            </w:pPr>
            <w:r>
              <w:rPr>
                <w:rFonts w:hint="eastAsia" w:ascii="宋体" w:hAnsi="宋体" w:cs="宋体"/>
                <w:color w:val="auto"/>
              </w:rPr>
              <w:t>2022-JK15-W1</w:t>
            </w:r>
            <w:r>
              <w:rPr>
                <w:rFonts w:hint="eastAsia" w:ascii="宋体" w:hAnsi="宋体" w:cs="宋体"/>
                <w:color w:val="auto"/>
                <w:lang w:val="en-US" w:eastAsia="zh-CN"/>
              </w:rPr>
              <w:t>115</w:t>
            </w: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7" w:type="dxa"/>
            <w:gridSpan w:val="3"/>
            <w:vAlign w:val="center"/>
          </w:tcPr>
          <w:p>
            <w:pPr>
              <w:jc w:val="center"/>
              <w:rPr>
                <w:rFonts w:ascii="宋体" w:hAnsi="宋体" w:cs="宋体"/>
                <w:color w:val="auto"/>
              </w:rPr>
            </w:pPr>
            <w:r>
              <w:rPr>
                <w:rFonts w:hint="eastAsia" w:ascii="宋体" w:hAnsi="宋体" w:cs="宋体"/>
                <w:color w:val="auto"/>
              </w:rPr>
              <w:t>项目名称</w:t>
            </w:r>
          </w:p>
        </w:tc>
        <w:tc>
          <w:tcPr>
            <w:tcW w:w="7170" w:type="dxa"/>
            <w:gridSpan w:val="5"/>
            <w:vAlign w:val="center"/>
          </w:tcPr>
          <w:p>
            <w:pPr>
              <w:rPr>
                <w:rFonts w:ascii="宋体" w:hAnsi="宋体" w:cs="宋体"/>
                <w:color w:val="auto"/>
              </w:rPr>
            </w:pPr>
            <w:r>
              <w:rPr>
                <w:rFonts w:hint="eastAsia" w:ascii="宋体" w:hAnsi="宋体" w:cs="宋体"/>
                <w:color w:val="auto"/>
              </w:rPr>
              <w:t>等离子体空气消毒机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7" w:type="dxa"/>
            <w:gridSpan w:val="3"/>
            <w:vAlign w:val="center"/>
          </w:tcPr>
          <w:p>
            <w:pPr>
              <w:jc w:val="center"/>
              <w:rPr>
                <w:rFonts w:ascii="宋体" w:hAnsi="宋体" w:cs="宋体"/>
                <w:color w:val="auto"/>
              </w:rPr>
            </w:pPr>
            <w:r>
              <w:rPr>
                <w:rFonts w:hint="eastAsia" w:ascii="宋体" w:hAnsi="宋体" w:cs="宋体"/>
                <w:color w:val="auto"/>
              </w:rPr>
              <w:t>数量</w:t>
            </w:r>
          </w:p>
        </w:tc>
        <w:tc>
          <w:tcPr>
            <w:tcW w:w="1633" w:type="dxa"/>
            <w:gridSpan w:val="2"/>
            <w:vAlign w:val="center"/>
          </w:tcPr>
          <w:p>
            <w:pPr>
              <w:jc w:val="center"/>
              <w:rPr>
                <w:rFonts w:hint="default" w:ascii="宋体" w:hAnsi="宋体" w:eastAsia="宋体" w:cs="宋体"/>
                <w:color w:val="auto"/>
                <w:lang w:val="en-US" w:eastAsia="zh-CN"/>
              </w:rPr>
            </w:pPr>
            <w:r>
              <w:rPr>
                <w:rFonts w:hint="eastAsia" w:ascii="宋体" w:hAnsi="宋体" w:cs="宋体"/>
                <w:color w:val="auto"/>
                <w:lang w:val="en-US" w:eastAsia="zh-CN"/>
              </w:rPr>
              <w:t>4台</w:t>
            </w:r>
          </w:p>
        </w:tc>
        <w:tc>
          <w:tcPr>
            <w:tcW w:w="5537" w:type="dxa"/>
            <w:gridSpan w:val="3"/>
            <w:vAlign w:val="center"/>
          </w:tcPr>
          <w:p>
            <w:pPr>
              <w:jc w:val="center"/>
              <w:rPr>
                <w:rFonts w:ascii="宋体" w:hAnsi="宋体" w:cs="宋体"/>
                <w:color w:val="auto"/>
              </w:rPr>
            </w:pPr>
            <w:r>
              <w:rPr>
                <w:rFonts w:hint="eastAsia" w:ascii="宋体" w:hAnsi="宋体" w:cs="宋体"/>
                <w:color w:val="auto"/>
                <w:highlight w:val="none"/>
              </w:rPr>
              <w:sym w:font="Wingdings" w:char="00FE"/>
            </w:r>
            <w:r>
              <w:rPr>
                <w:rFonts w:hint="eastAsia" w:ascii="宋体" w:hAnsi="宋体" w:cs="宋体"/>
                <w:color w:val="auto"/>
                <w:highlight w:val="none"/>
              </w:rPr>
              <w:t xml:space="preserve">国产   </w:t>
            </w:r>
            <w:r>
              <w:rPr>
                <w:rFonts w:hint="eastAsia" w:ascii="宋体" w:hAnsi="宋体" w:cs="宋体"/>
                <w:color w:val="auto"/>
                <w:highlight w:val="none"/>
              </w:rPr>
              <w:sym w:font="Wingdings" w:char="00FE"/>
            </w:r>
            <w:r>
              <w:rPr>
                <w:rFonts w:hint="eastAsia" w:ascii="宋体" w:hAnsi="宋体" w:cs="宋体"/>
                <w:color w:val="auto"/>
                <w:highlight w:val="none"/>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7" w:type="dxa"/>
            <w:gridSpan w:val="3"/>
            <w:vAlign w:val="center"/>
          </w:tcPr>
          <w:p>
            <w:pPr>
              <w:jc w:val="center"/>
              <w:rPr>
                <w:rFonts w:ascii="宋体" w:hAnsi="宋体" w:cs="宋体"/>
                <w:color w:val="auto"/>
              </w:rPr>
            </w:pPr>
            <w:r>
              <w:rPr>
                <w:rFonts w:hint="eastAsia" w:ascii="宋体" w:hAnsi="宋体" w:cs="宋体"/>
                <w:color w:val="auto"/>
              </w:rPr>
              <w:t>最高投标限价</w:t>
            </w:r>
          </w:p>
        </w:tc>
        <w:tc>
          <w:tcPr>
            <w:tcW w:w="7170" w:type="dxa"/>
            <w:gridSpan w:val="5"/>
            <w:vAlign w:val="center"/>
          </w:tcPr>
          <w:p>
            <w:pPr>
              <w:jc w:val="left"/>
              <w:rPr>
                <w:rFonts w:hint="default" w:ascii="宋体" w:hAnsi="宋体" w:eastAsia="宋体" w:cs="宋体"/>
                <w:color w:val="auto"/>
                <w:lang w:val="en-US" w:eastAsia="zh-CN"/>
              </w:rPr>
            </w:pPr>
            <w:r>
              <w:rPr>
                <w:rFonts w:hint="eastAsia" w:ascii="宋体" w:hAnsi="宋体" w:cs="宋体"/>
                <w:color w:val="auto"/>
                <w:lang w:val="en-US" w:eastAsia="zh-CN"/>
              </w:rPr>
              <w:t>180万元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8"/>
            <w:vAlign w:val="center"/>
          </w:tcPr>
          <w:p>
            <w:pPr>
              <w:jc w:val="center"/>
              <w:rPr>
                <w:rFonts w:ascii="宋体" w:hAnsi="宋体" w:cs="宋体"/>
                <w:color w:val="auto"/>
              </w:rPr>
            </w:pPr>
            <w:r>
              <w:rPr>
                <w:rFonts w:hint="eastAsia" w:ascii="宋体" w:hAnsi="宋体" w:cs="宋体"/>
                <w:b/>
                <w:color w:val="auto"/>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9857" w:type="dxa"/>
            <w:gridSpan w:val="8"/>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hAnsi="宋体" w:cs="宋体"/>
                <w:bCs/>
                <w:color w:val="auto"/>
                <w:sz w:val="24"/>
              </w:rPr>
            </w:pPr>
            <w:r>
              <w:rPr>
                <w:rFonts w:hint="eastAsia" w:ascii="宋体" w:hAnsi="宋体" w:cs="宋体"/>
                <w:bCs/>
                <w:color w:val="auto"/>
                <w:sz w:val="24"/>
              </w:rPr>
              <w:t>为有效控制医院内经呼吸道传播疾病发生,杜绝医院感染，并快速杀灭致病病原体,将等离子空气消毒机应用于病房、治疗室等,旨在寻求一种较好地适用于医院感染防控的空气消毒方法。</w:t>
            </w:r>
          </w:p>
          <w:p>
            <w:pPr>
              <w:pStyle w:val="7"/>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hAnsi="宋体" w:cs="宋体"/>
                <w:bCs/>
                <w:color w:val="auto"/>
                <w:sz w:val="24"/>
              </w:rPr>
            </w:pPr>
            <w:r>
              <w:rPr>
                <w:rFonts w:hint="eastAsia" w:ascii="宋体" w:hAnsi="宋体" w:cs="宋体"/>
                <w:bCs/>
                <w:color w:val="auto"/>
                <w:sz w:val="24"/>
              </w:rPr>
              <w:t>等离子空气消毒机可实现综合防护，对各种病毒、细菌、真菌和芽胞，尤其对新型冠状病毒、SARS、禽流感、甲型H1N1流感病毒及超级菌等均能有效杀灭，该设备的等离子“生物瞬间灭活”功效能够彻底阻断封闭环境中外源性的病原体通过空气传播的感染途径，为患者的救治提供了高效安全的屏障，为保护伤患免受空气中病毒细菌的感染起到重要作用。并且对突发公共卫生事件可以作为应急设施，快速移动布置，保护易感人群，并为医务工作者提供强力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8"/>
            <w:vAlign w:val="center"/>
          </w:tcPr>
          <w:p>
            <w:pPr>
              <w:jc w:val="center"/>
              <w:rPr>
                <w:rFonts w:ascii="宋体" w:hAnsi="宋体" w:cs="宋体"/>
                <w:b/>
                <w:color w:val="auto"/>
              </w:rPr>
            </w:pPr>
            <w:r>
              <w:rPr>
                <w:rFonts w:hint="eastAsia" w:ascii="宋体" w:hAnsi="宋体" w:cs="宋体"/>
                <w:b/>
                <w:color w:val="auto"/>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widowControl/>
              <w:jc w:val="center"/>
              <w:rPr>
                <w:rFonts w:ascii="宋体" w:hAnsi="宋体" w:cs="宋体"/>
                <w:b/>
                <w:color w:val="auto"/>
              </w:rPr>
            </w:pPr>
            <w:r>
              <w:rPr>
                <w:rFonts w:hint="eastAsia" w:ascii="宋体" w:hAnsi="宋体" w:cs="宋体"/>
                <w:b/>
                <w:color w:val="auto"/>
              </w:rPr>
              <w:t>序号</w:t>
            </w:r>
          </w:p>
        </w:tc>
        <w:tc>
          <w:tcPr>
            <w:tcW w:w="4802" w:type="dxa"/>
            <w:gridSpan w:val="4"/>
            <w:vAlign w:val="center"/>
          </w:tcPr>
          <w:p>
            <w:pPr>
              <w:widowControl/>
              <w:jc w:val="center"/>
              <w:rPr>
                <w:rFonts w:ascii="宋体" w:hAnsi="宋体" w:cs="宋体"/>
                <w:b/>
                <w:color w:val="auto"/>
              </w:rPr>
            </w:pPr>
            <w:r>
              <w:rPr>
                <w:rFonts w:hint="eastAsia" w:ascii="宋体" w:hAnsi="宋体" w:cs="宋体"/>
                <w:b/>
                <w:color w:val="auto"/>
              </w:rPr>
              <w:t>描  述</w:t>
            </w:r>
          </w:p>
        </w:tc>
        <w:tc>
          <w:tcPr>
            <w:tcW w:w="3286" w:type="dxa"/>
            <w:gridSpan w:val="2"/>
            <w:vAlign w:val="center"/>
          </w:tcPr>
          <w:p>
            <w:pPr>
              <w:widowControl/>
              <w:jc w:val="center"/>
              <w:rPr>
                <w:rFonts w:ascii="宋体" w:hAnsi="宋体" w:cs="宋体"/>
                <w:b/>
                <w:color w:val="auto"/>
              </w:rPr>
            </w:pPr>
            <w:r>
              <w:rPr>
                <w:rFonts w:hint="eastAsia" w:ascii="宋体" w:hAnsi="宋体" w:cs="宋体"/>
                <w:b/>
                <w:color w:val="auto"/>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widowControl/>
              <w:jc w:val="center"/>
              <w:rPr>
                <w:rFonts w:hint="eastAsia" w:ascii="宋体" w:hAnsi="宋体" w:eastAsia="宋体" w:cs="宋体"/>
                <w:color w:val="auto"/>
                <w:sz w:val="24"/>
                <w:szCs w:val="24"/>
                <w:lang w:val="en-US" w:eastAsia="zh-CN"/>
              </w:rPr>
            </w:pPr>
            <w:r>
              <w:rPr>
                <w:rFonts w:hint="eastAsia"/>
                <w:color w:val="000000"/>
                <w:kern w:val="0"/>
                <w:sz w:val="24"/>
                <w:szCs w:val="24"/>
              </w:rPr>
              <w:t>1</w:t>
            </w:r>
          </w:p>
        </w:tc>
        <w:tc>
          <w:tcPr>
            <w:tcW w:w="4802" w:type="dxa"/>
            <w:gridSpan w:val="4"/>
            <w:vAlign w:val="center"/>
          </w:tcPr>
          <w:p>
            <w:pPr>
              <w:widowControl/>
              <w:jc w:val="center"/>
              <w:rPr>
                <w:rFonts w:hint="eastAsia" w:ascii="宋体" w:hAnsi="宋体" w:cs="宋体"/>
                <w:color w:val="auto"/>
                <w:sz w:val="24"/>
                <w:szCs w:val="24"/>
                <w:lang w:val="en-US" w:eastAsia="zh-CN"/>
              </w:rPr>
            </w:pPr>
            <w:r>
              <w:rPr>
                <w:rFonts w:hint="eastAsia" w:ascii="宋体" w:hAnsi="宋体"/>
                <w:sz w:val="24"/>
                <w:szCs w:val="24"/>
              </w:rPr>
              <w:t>等离子体空气消毒机主机</w:t>
            </w:r>
          </w:p>
        </w:tc>
        <w:tc>
          <w:tcPr>
            <w:tcW w:w="3286" w:type="dxa"/>
            <w:gridSpan w:val="2"/>
            <w:vAlign w:val="center"/>
          </w:tcPr>
          <w:p>
            <w:pPr>
              <w:widowControl/>
              <w:jc w:val="center"/>
              <w:rPr>
                <w:rFonts w:hint="eastAsia" w:ascii="宋体" w:hAnsi="宋体" w:cs="宋体"/>
                <w:color w:val="auto"/>
                <w:sz w:val="24"/>
                <w:szCs w:val="24"/>
                <w:lang w:val="en-US" w:eastAsia="zh-Hans"/>
              </w:rPr>
            </w:pPr>
            <w:r>
              <w:rPr>
                <w:rFonts w:hint="eastAsia"/>
                <w:color w:val="000000"/>
                <w:kern w:val="0"/>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widowControl/>
              <w:jc w:val="center"/>
              <w:rPr>
                <w:rFonts w:hint="eastAsia" w:ascii="宋体" w:hAnsi="宋体" w:eastAsia="宋体" w:cs="宋体"/>
                <w:color w:val="auto"/>
                <w:sz w:val="24"/>
                <w:szCs w:val="24"/>
                <w:lang w:val="en-US" w:eastAsia="zh-CN"/>
              </w:rPr>
            </w:pPr>
            <w:r>
              <w:rPr>
                <w:rFonts w:hint="eastAsia"/>
                <w:color w:val="000000"/>
                <w:kern w:val="0"/>
                <w:sz w:val="24"/>
                <w:szCs w:val="24"/>
              </w:rPr>
              <w:t>2</w:t>
            </w:r>
          </w:p>
        </w:tc>
        <w:tc>
          <w:tcPr>
            <w:tcW w:w="4802" w:type="dxa"/>
            <w:gridSpan w:val="4"/>
            <w:vAlign w:val="center"/>
          </w:tcPr>
          <w:p>
            <w:pPr>
              <w:widowControl/>
              <w:jc w:val="center"/>
              <w:rPr>
                <w:rFonts w:hint="eastAsia" w:ascii="宋体" w:hAnsi="宋体" w:cs="宋体"/>
                <w:color w:val="auto"/>
                <w:sz w:val="24"/>
                <w:szCs w:val="24"/>
                <w:lang w:val="en-US" w:eastAsia="zh-CN"/>
              </w:rPr>
            </w:pPr>
            <w:r>
              <w:rPr>
                <w:rFonts w:hint="eastAsia"/>
                <w:color w:val="000000"/>
                <w:kern w:val="0"/>
                <w:sz w:val="24"/>
                <w:szCs w:val="24"/>
              </w:rPr>
              <w:t>存储罩</w:t>
            </w:r>
          </w:p>
        </w:tc>
        <w:tc>
          <w:tcPr>
            <w:tcW w:w="3286" w:type="dxa"/>
            <w:gridSpan w:val="2"/>
            <w:vAlign w:val="center"/>
          </w:tcPr>
          <w:p>
            <w:pPr>
              <w:widowControl/>
              <w:jc w:val="center"/>
              <w:rPr>
                <w:rFonts w:hint="eastAsia" w:ascii="宋体" w:hAnsi="宋体" w:cs="宋体"/>
                <w:color w:val="auto"/>
                <w:sz w:val="24"/>
                <w:szCs w:val="24"/>
                <w:lang w:val="en-US" w:eastAsia="zh-Hans"/>
              </w:rPr>
            </w:pPr>
            <w:r>
              <w:rPr>
                <w:rFonts w:hint="eastAsia"/>
                <w:color w:val="000000"/>
                <w:kern w:val="0"/>
                <w:sz w:val="24"/>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widowControl/>
              <w:jc w:val="center"/>
              <w:rPr>
                <w:rFonts w:hint="eastAsia" w:ascii="宋体" w:hAnsi="宋体" w:eastAsia="宋体" w:cs="宋体"/>
                <w:color w:val="auto"/>
                <w:sz w:val="24"/>
                <w:szCs w:val="24"/>
                <w:lang w:val="en-US" w:eastAsia="zh-CN"/>
              </w:rPr>
            </w:pPr>
            <w:r>
              <w:rPr>
                <w:rFonts w:hint="eastAsia"/>
                <w:color w:val="000000"/>
                <w:kern w:val="0"/>
                <w:sz w:val="24"/>
                <w:szCs w:val="24"/>
              </w:rPr>
              <w:t>3</w:t>
            </w:r>
          </w:p>
        </w:tc>
        <w:tc>
          <w:tcPr>
            <w:tcW w:w="4802" w:type="dxa"/>
            <w:gridSpan w:val="4"/>
            <w:vAlign w:val="center"/>
          </w:tcPr>
          <w:p>
            <w:pPr>
              <w:widowControl/>
              <w:jc w:val="center"/>
              <w:rPr>
                <w:rFonts w:hint="eastAsia" w:ascii="宋体" w:hAnsi="宋体" w:cs="宋体"/>
                <w:color w:val="auto"/>
                <w:sz w:val="24"/>
                <w:szCs w:val="24"/>
                <w:lang w:val="en-US" w:eastAsia="zh-CN"/>
              </w:rPr>
            </w:pPr>
            <w:r>
              <w:rPr>
                <w:rFonts w:hint="eastAsia"/>
                <w:color w:val="000000"/>
                <w:kern w:val="0"/>
                <w:sz w:val="24"/>
                <w:szCs w:val="24"/>
              </w:rPr>
              <w:t>电源线</w:t>
            </w:r>
          </w:p>
        </w:tc>
        <w:tc>
          <w:tcPr>
            <w:tcW w:w="3286" w:type="dxa"/>
            <w:gridSpan w:val="2"/>
            <w:vAlign w:val="center"/>
          </w:tcPr>
          <w:p>
            <w:pPr>
              <w:widowControl/>
              <w:jc w:val="center"/>
              <w:rPr>
                <w:rFonts w:hint="eastAsia" w:ascii="宋体" w:hAnsi="宋体" w:cs="宋体"/>
                <w:color w:val="auto"/>
                <w:sz w:val="24"/>
                <w:szCs w:val="24"/>
                <w:lang w:val="en-US" w:eastAsia="zh-Hans"/>
              </w:rPr>
            </w:pPr>
            <w:r>
              <w:rPr>
                <w:rFonts w:hint="eastAsia"/>
                <w:color w:val="000000"/>
                <w:kern w:val="0"/>
                <w:sz w:val="24"/>
                <w:szCs w:val="24"/>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widowControl/>
              <w:jc w:val="center"/>
              <w:rPr>
                <w:rFonts w:hint="eastAsia" w:ascii="宋体" w:hAnsi="宋体" w:eastAsia="宋体" w:cs="宋体"/>
                <w:color w:val="auto"/>
                <w:sz w:val="24"/>
                <w:szCs w:val="24"/>
                <w:lang w:val="en-US" w:eastAsia="zh-CN"/>
              </w:rPr>
            </w:pPr>
            <w:r>
              <w:rPr>
                <w:rFonts w:hint="eastAsia"/>
                <w:color w:val="000000"/>
                <w:kern w:val="0"/>
                <w:sz w:val="24"/>
                <w:szCs w:val="24"/>
              </w:rPr>
              <w:t>4</w:t>
            </w:r>
          </w:p>
        </w:tc>
        <w:tc>
          <w:tcPr>
            <w:tcW w:w="4802" w:type="dxa"/>
            <w:gridSpan w:val="4"/>
            <w:vAlign w:val="center"/>
          </w:tcPr>
          <w:p>
            <w:pPr>
              <w:widowControl/>
              <w:jc w:val="center"/>
              <w:rPr>
                <w:rFonts w:hint="eastAsia" w:ascii="宋体" w:hAnsi="宋体" w:cs="宋体"/>
                <w:color w:val="auto"/>
                <w:sz w:val="24"/>
                <w:szCs w:val="24"/>
                <w:lang w:val="en-US" w:eastAsia="zh-CN"/>
              </w:rPr>
            </w:pPr>
            <w:r>
              <w:rPr>
                <w:rFonts w:hint="eastAsia"/>
                <w:color w:val="000000"/>
                <w:kern w:val="0"/>
                <w:sz w:val="24"/>
                <w:szCs w:val="24"/>
              </w:rPr>
              <w:t>说明书</w:t>
            </w:r>
          </w:p>
        </w:tc>
        <w:tc>
          <w:tcPr>
            <w:tcW w:w="3286" w:type="dxa"/>
            <w:gridSpan w:val="2"/>
            <w:vAlign w:val="center"/>
          </w:tcPr>
          <w:p>
            <w:pPr>
              <w:widowControl/>
              <w:jc w:val="center"/>
              <w:rPr>
                <w:rFonts w:hint="eastAsia" w:ascii="宋体" w:hAnsi="宋体" w:cs="宋体"/>
                <w:color w:val="auto"/>
                <w:sz w:val="24"/>
                <w:szCs w:val="24"/>
                <w:lang w:val="en-US" w:eastAsia="zh-Hans"/>
              </w:rPr>
            </w:pPr>
            <w:r>
              <w:rPr>
                <w:rFonts w:hint="eastAsia"/>
                <w:color w:val="000000"/>
                <w:kern w:val="0"/>
                <w:sz w:val="24"/>
                <w:szCs w:val="24"/>
              </w:rPr>
              <w:t>1本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widowControl/>
              <w:jc w:val="center"/>
              <w:rPr>
                <w:rFonts w:hint="eastAsia" w:ascii="宋体" w:hAnsi="宋体" w:eastAsia="宋体" w:cs="宋体"/>
                <w:color w:val="auto"/>
                <w:sz w:val="24"/>
                <w:szCs w:val="24"/>
                <w:lang w:val="en-US" w:eastAsia="zh-CN"/>
              </w:rPr>
            </w:pPr>
            <w:r>
              <w:rPr>
                <w:rFonts w:hint="eastAsia"/>
                <w:color w:val="000000"/>
                <w:kern w:val="0"/>
                <w:sz w:val="24"/>
                <w:szCs w:val="24"/>
              </w:rPr>
              <w:t>5</w:t>
            </w:r>
          </w:p>
        </w:tc>
        <w:tc>
          <w:tcPr>
            <w:tcW w:w="4802" w:type="dxa"/>
            <w:gridSpan w:val="4"/>
            <w:vAlign w:val="center"/>
          </w:tcPr>
          <w:p>
            <w:pPr>
              <w:widowControl/>
              <w:jc w:val="center"/>
              <w:rPr>
                <w:rFonts w:hint="eastAsia" w:ascii="宋体" w:hAnsi="宋体" w:cs="宋体"/>
                <w:color w:val="auto"/>
                <w:sz w:val="24"/>
                <w:szCs w:val="24"/>
                <w:lang w:val="en-US" w:eastAsia="zh-CN"/>
              </w:rPr>
            </w:pPr>
            <w:r>
              <w:rPr>
                <w:rFonts w:hint="eastAsia"/>
                <w:color w:val="000000"/>
                <w:kern w:val="0"/>
                <w:sz w:val="24"/>
                <w:szCs w:val="24"/>
              </w:rPr>
              <w:t>简易操作指南</w:t>
            </w:r>
          </w:p>
        </w:tc>
        <w:tc>
          <w:tcPr>
            <w:tcW w:w="3286" w:type="dxa"/>
            <w:gridSpan w:val="2"/>
            <w:vAlign w:val="center"/>
          </w:tcPr>
          <w:p>
            <w:pPr>
              <w:widowControl/>
              <w:jc w:val="center"/>
              <w:rPr>
                <w:rFonts w:hint="eastAsia" w:ascii="宋体" w:hAnsi="宋体" w:cs="宋体"/>
                <w:color w:val="auto"/>
                <w:sz w:val="24"/>
                <w:szCs w:val="24"/>
                <w:lang w:val="en-US" w:eastAsia="zh-Hans"/>
              </w:rPr>
            </w:pPr>
            <w:r>
              <w:rPr>
                <w:rFonts w:hint="eastAsia"/>
                <w:color w:val="000000"/>
                <w:kern w:val="0"/>
                <w:sz w:val="24"/>
                <w:szCs w:val="24"/>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7"/>
            <w:vAlign w:val="center"/>
          </w:tcPr>
          <w:p>
            <w:pPr>
              <w:jc w:val="center"/>
              <w:rPr>
                <w:rFonts w:ascii="宋体" w:hAnsi="宋体" w:cs="宋体"/>
                <w:color w:val="auto"/>
              </w:rPr>
            </w:pPr>
            <w:r>
              <w:rPr>
                <w:rFonts w:hint="eastAsia" w:ascii="宋体" w:hAnsi="宋体" w:cs="宋体"/>
                <w:b/>
                <w:color w:val="auto"/>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jc w:val="center"/>
              <w:rPr>
                <w:rFonts w:ascii="宋体" w:hAnsi="宋体" w:cs="宋体"/>
                <w:color w:val="auto"/>
              </w:rPr>
            </w:pPr>
            <w:r>
              <w:rPr>
                <w:rFonts w:hint="eastAsia" w:ascii="宋体" w:hAnsi="宋体" w:cs="宋体"/>
                <w:color w:val="auto"/>
              </w:rPr>
              <w:t>序号</w:t>
            </w:r>
          </w:p>
        </w:tc>
        <w:tc>
          <w:tcPr>
            <w:tcW w:w="2542" w:type="dxa"/>
            <w:gridSpan w:val="3"/>
            <w:vAlign w:val="center"/>
          </w:tcPr>
          <w:p>
            <w:pPr>
              <w:jc w:val="center"/>
              <w:rPr>
                <w:rFonts w:ascii="宋体" w:hAnsi="宋体" w:cs="宋体"/>
                <w:color w:val="auto"/>
              </w:rPr>
            </w:pPr>
            <w:r>
              <w:rPr>
                <w:rFonts w:hint="eastAsia" w:ascii="宋体" w:hAnsi="宋体" w:cs="宋体"/>
                <w:color w:val="auto"/>
              </w:rPr>
              <w:t>指标名称</w:t>
            </w:r>
          </w:p>
        </w:tc>
        <w:tc>
          <w:tcPr>
            <w:tcW w:w="6539" w:type="dxa"/>
            <w:gridSpan w:val="3"/>
            <w:vAlign w:val="center"/>
          </w:tcPr>
          <w:p>
            <w:pPr>
              <w:jc w:val="center"/>
              <w:rPr>
                <w:rFonts w:ascii="宋体" w:hAnsi="宋体" w:cs="宋体"/>
                <w:color w:val="auto"/>
              </w:rPr>
            </w:pPr>
            <w:r>
              <w:rPr>
                <w:rFonts w:hint="eastAsia" w:ascii="宋体" w:hAnsi="宋体" w:cs="宋体"/>
                <w:color w:val="auto"/>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jc w:val="center"/>
              <w:rPr>
                <w:rFonts w:hint="eastAsia" w:ascii="宋体" w:hAnsi="宋体" w:eastAsia="宋体" w:cs="宋体"/>
                <w:kern w:val="2"/>
                <w:sz w:val="24"/>
                <w:szCs w:val="24"/>
                <w:lang w:val="en-US" w:eastAsia="zh-CN" w:bidi="ar-SA"/>
              </w:rPr>
            </w:pPr>
            <w:r>
              <w:rPr>
                <w:rFonts w:hint="eastAsia"/>
                <w:sz w:val="24"/>
              </w:rPr>
              <w:t>★</w:t>
            </w:r>
            <w:r>
              <w:rPr>
                <w:rFonts w:hint="eastAsia" w:ascii="宋体" w:hAnsi="宋体"/>
                <w:sz w:val="24"/>
              </w:rPr>
              <w:t>1</w:t>
            </w:r>
          </w:p>
        </w:tc>
        <w:tc>
          <w:tcPr>
            <w:tcW w:w="2542" w:type="dxa"/>
            <w:gridSpan w:val="3"/>
            <w:vAlign w:val="center"/>
          </w:tcPr>
          <w:p>
            <w:pPr>
              <w:jc w:val="center"/>
              <w:rPr>
                <w:rFonts w:hint="eastAsia" w:ascii="宋体" w:hAnsi="宋体" w:eastAsia="宋体" w:cs="宋体"/>
                <w:kern w:val="2"/>
                <w:sz w:val="24"/>
                <w:szCs w:val="24"/>
                <w:lang w:val="en-US" w:eastAsia="zh-CN" w:bidi="ar-SA"/>
              </w:rPr>
            </w:pPr>
            <w:r>
              <w:rPr>
                <w:rFonts w:hint="eastAsia"/>
                <w:sz w:val="24"/>
              </w:rPr>
              <w:t>主机</w:t>
            </w:r>
          </w:p>
        </w:tc>
        <w:tc>
          <w:tcPr>
            <w:tcW w:w="6539" w:type="dxa"/>
            <w:gridSpan w:val="3"/>
            <w:vAlign w:val="center"/>
          </w:tcPr>
          <w:p>
            <w:pPr>
              <w:jc w:val="left"/>
              <w:rPr>
                <w:rFonts w:hint="eastAsia" w:ascii="宋体" w:hAnsi="宋体" w:eastAsia="宋体" w:cs="宋体"/>
                <w:kern w:val="2"/>
                <w:sz w:val="24"/>
                <w:szCs w:val="24"/>
                <w:lang w:val="en-US" w:eastAsia="zh-CN" w:bidi="ar-SA"/>
              </w:rPr>
            </w:pPr>
            <w:r>
              <w:rPr>
                <w:rFonts w:hint="eastAsia"/>
                <w:sz w:val="24"/>
              </w:rPr>
              <w:t>获得省级以上卫生安全评价报告备案并合格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jc w:val="center"/>
              <w:rPr>
                <w:rFonts w:hint="eastAsia" w:ascii="宋体" w:hAnsi="宋体" w:eastAsia="宋体" w:cs="宋体"/>
                <w:kern w:val="2"/>
                <w:sz w:val="24"/>
                <w:szCs w:val="24"/>
                <w:lang w:val="en-US" w:eastAsia="zh-CN" w:bidi="ar-SA"/>
              </w:rPr>
            </w:pPr>
            <w:r>
              <w:rPr>
                <w:rFonts w:hint="eastAsia" w:ascii="宋体" w:hAnsi="宋体"/>
                <w:sz w:val="24"/>
              </w:rPr>
              <w:t>2</w:t>
            </w:r>
          </w:p>
        </w:tc>
        <w:tc>
          <w:tcPr>
            <w:tcW w:w="2542" w:type="dxa"/>
            <w:gridSpan w:val="3"/>
            <w:vAlign w:val="center"/>
          </w:tcPr>
          <w:p>
            <w:pPr>
              <w:jc w:val="center"/>
              <w:rPr>
                <w:rFonts w:hint="eastAsia" w:ascii="宋体" w:hAnsi="宋体" w:eastAsia="宋体" w:cs="宋体"/>
                <w:kern w:val="2"/>
                <w:sz w:val="24"/>
                <w:szCs w:val="24"/>
                <w:lang w:val="en-US" w:eastAsia="zh-CN" w:bidi="ar-SA"/>
              </w:rPr>
            </w:pPr>
            <w:r>
              <w:rPr>
                <w:rFonts w:hint="eastAsia"/>
                <w:sz w:val="24"/>
              </w:rPr>
              <w:t>安装方式及</w:t>
            </w:r>
            <w:r>
              <w:rPr>
                <w:rFonts w:hint="eastAsia"/>
                <w:color w:val="000000"/>
                <w:sz w:val="24"/>
              </w:rPr>
              <w:t>设备要求</w:t>
            </w:r>
          </w:p>
        </w:tc>
        <w:tc>
          <w:tcPr>
            <w:tcW w:w="6539" w:type="dxa"/>
            <w:gridSpan w:val="3"/>
            <w:vAlign w:val="center"/>
          </w:tcPr>
          <w:p>
            <w:pPr>
              <w:jc w:val="left"/>
              <w:rPr>
                <w:rFonts w:hint="eastAsia" w:ascii="宋体" w:hAnsi="宋体" w:eastAsia="宋体" w:cs="宋体"/>
                <w:kern w:val="2"/>
                <w:sz w:val="24"/>
                <w:szCs w:val="24"/>
                <w:lang w:val="en-US" w:eastAsia="zh-CN" w:bidi="ar-SA"/>
              </w:rPr>
            </w:pPr>
            <w:r>
              <w:rPr>
                <w:rFonts w:hint="eastAsia"/>
                <w:sz w:val="24"/>
              </w:rPr>
              <w:t>柜式机，可移动使用</w:t>
            </w:r>
            <w:r>
              <w:rPr>
                <w:rFonts w:hint="eastAsia"/>
                <w:color w:val="000000"/>
                <w:sz w:val="24"/>
              </w:rPr>
              <w:t>，宽度≤100cm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jc w:val="center"/>
              <w:rPr>
                <w:rFonts w:hint="eastAsia" w:ascii="宋体" w:hAnsi="宋体" w:eastAsia="宋体" w:cs="宋体"/>
                <w:kern w:val="2"/>
                <w:sz w:val="24"/>
                <w:szCs w:val="24"/>
                <w:lang w:val="en-US" w:eastAsia="zh-CN" w:bidi="ar-SA"/>
              </w:rPr>
            </w:pPr>
            <w:r>
              <w:rPr>
                <w:rFonts w:hint="eastAsia"/>
                <w:sz w:val="24"/>
              </w:rPr>
              <w:t>★</w:t>
            </w:r>
            <w:r>
              <w:rPr>
                <w:rFonts w:hint="eastAsia" w:ascii="宋体" w:hAnsi="宋体"/>
                <w:sz w:val="24"/>
              </w:rPr>
              <w:t>3</w:t>
            </w:r>
          </w:p>
        </w:tc>
        <w:tc>
          <w:tcPr>
            <w:tcW w:w="2542" w:type="dxa"/>
            <w:gridSpan w:val="3"/>
            <w:vAlign w:val="center"/>
          </w:tcPr>
          <w:p>
            <w:pPr>
              <w:jc w:val="center"/>
              <w:rPr>
                <w:rFonts w:hint="eastAsia" w:ascii="宋体" w:hAnsi="宋体" w:eastAsia="宋体" w:cs="宋体"/>
                <w:kern w:val="2"/>
                <w:sz w:val="24"/>
                <w:szCs w:val="24"/>
                <w:lang w:val="en-US" w:eastAsia="zh-CN" w:bidi="ar-SA"/>
              </w:rPr>
            </w:pPr>
            <w:r>
              <w:rPr>
                <w:rFonts w:hint="eastAsia"/>
                <w:sz w:val="24"/>
              </w:rPr>
              <w:t>杀菌因子</w:t>
            </w:r>
          </w:p>
        </w:tc>
        <w:tc>
          <w:tcPr>
            <w:tcW w:w="6539" w:type="dxa"/>
            <w:gridSpan w:val="3"/>
            <w:vAlign w:val="center"/>
          </w:tcPr>
          <w:p>
            <w:pPr>
              <w:jc w:val="left"/>
              <w:rPr>
                <w:rFonts w:hint="eastAsia" w:ascii="宋体" w:hAnsi="宋体" w:eastAsia="宋体" w:cs="宋体"/>
                <w:kern w:val="2"/>
                <w:sz w:val="24"/>
                <w:szCs w:val="24"/>
                <w:lang w:val="en-US" w:eastAsia="zh-CN" w:bidi="ar-SA"/>
              </w:rPr>
            </w:pPr>
            <w:r>
              <w:rPr>
                <w:rFonts w:hint="eastAsia"/>
                <w:sz w:val="24"/>
              </w:rPr>
              <w:t>杀菌因子只为等离子体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jc w:val="center"/>
              <w:rPr>
                <w:rFonts w:hint="eastAsia" w:ascii="宋体" w:hAnsi="宋体" w:eastAsia="宋体" w:cs="宋体"/>
                <w:kern w:val="2"/>
                <w:sz w:val="24"/>
                <w:szCs w:val="24"/>
                <w:lang w:val="en-US" w:eastAsia="zh-CN" w:bidi="ar-SA"/>
              </w:rPr>
            </w:pPr>
            <w:r>
              <w:rPr>
                <w:rFonts w:hint="eastAsia"/>
                <w:sz w:val="24"/>
              </w:rPr>
              <w:t>＃</w:t>
            </w:r>
            <w:r>
              <w:rPr>
                <w:rFonts w:hint="eastAsia" w:ascii="宋体" w:hAnsi="宋体"/>
                <w:sz w:val="24"/>
              </w:rPr>
              <w:t>4</w:t>
            </w:r>
          </w:p>
        </w:tc>
        <w:tc>
          <w:tcPr>
            <w:tcW w:w="2542" w:type="dxa"/>
            <w:gridSpan w:val="3"/>
            <w:vAlign w:val="center"/>
          </w:tcPr>
          <w:p>
            <w:pPr>
              <w:jc w:val="center"/>
              <w:rPr>
                <w:rFonts w:hint="eastAsia" w:ascii="宋体" w:hAnsi="宋体" w:eastAsia="宋体" w:cs="宋体"/>
                <w:kern w:val="2"/>
                <w:sz w:val="24"/>
                <w:szCs w:val="24"/>
                <w:lang w:val="en-US" w:eastAsia="zh-CN" w:bidi="ar-SA"/>
              </w:rPr>
            </w:pPr>
            <w:r>
              <w:rPr>
                <w:rFonts w:hint="eastAsia"/>
                <w:sz w:val="24"/>
              </w:rPr>
              <w:t>真菌菌落数检测</w:t>
            </w:r>
          </w:p>
        </w:tc>
        <w:tc>
          <w:tcPr>
            <w:tcW w:w="6539" w:type="dxa"/>
            <w:gridSpan w:val="3"/>
            <w:vAlign w:val="center"/>
          </w:tcPr>
          <w:p>
            <w:pPr>
              <w:jc w:val="left"/>
              <w:rPr>
                <w:rFonts w:hint="eastAsia" w:ascii="宋体" w:hAnsi="宋体" w:eastAsia="宋体" w:cs="宋体"/>
                <w:kern w:val="2"/>
                <w:sz w:val="24"/>
                <w:szCs w:val="24"/>
                <w:lang w:val="en-US" w:eastAsia="zh-CN" w:bidi="ar-SA"/>
              </w:rPr>
            </w:pPr>
            <w:r>
              <w:rPr>
                <w:rFonts w:hint="eastAsia"/>
                <w:sz w:val="24"/>
              </w:rPr>
              <w:t>在≥115m³的医疗空间内现场检测，真菌菌落数＜1CFU/m³（提供第三方检测机构出具的证明文件）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jc w:val="center"/>
              <w:rPr>
                <w:rFonts w:hint="eastAsia" w:ascii="宋体" w:hAnsi="宋体" w:eastAsia="宋体" w:cs="宋体"/>
                <w:kern w:val="2"/>
                <w:sz w:val="24"/>
                <w:szCs w:val="24"/>
                <w:lang w:val="en-US" w:eastAsia="zh-CN" w:bidi="ar-SA"/>
              </w:rPr>
            </w:pPr>
            <w:r>
              <w:rPr>
                <w:rFonts w:hint="eastAsia"/>
                <w:sz w:val="24"/>
              </w:rPr>
              <w:t>＃</w:t>
            </w:r>
            <w:r>
              <w:rPr>
                <w:rFonts w:hint="eastAsia" w:ascii="宋体" w:hAnsi="宋体"/>
                <w:sz w:val="24"/>
              </w:rPr>
              <w:t>5</w:t>
            </w:r>
          </w:p>
        </w:tc>
        <w:tc>
          <w:tcPr>
            <w:tcW w:w="2542" w:type="dxa"/>
            <w:gridSpan w:val="3"/>
            <w:vAlign w:val="center"/>
          </w:tcPr>
          <w:p>
            <w:pPr>
              <w:jc w:val="center"/>
              <w:rPr>
                <w:rFonts w:hint="eastAsia" w:ascii="宋体" w:hAnsi="宋体" w:eastAsia="宋体" w:cs="宋体"/>
                <w:kern w:val="2"/>
                <w:sz w:val="24"/>
                <w:szCs w:val="24"/>
                <w:lang w:val="en-US" w:eastAsia="zh-CN" w:bidi="ar-SA"/>
              </w:rPr>
            </w:pPr>
            <w:r>
              <w:rPr>
                <w:rFonts w:hint="eastAsia"/>
                <w:sz w:val="24"/>
              </w:rPr>
              <w:t>噬菌体“一次过”杀菌率实验</w:t>
            </w:r>
          </w:p>
        </w:tc>
        <w:tc>
          <w:tcPr>
            <w:tcW w:w="6539" w:type="dxa"/>
            <w:gridSpan w:val="3"/>
            <w:vAlign w:val="center"/>
          </w:tcPr>
          <w:p>
            <w:pPr>
              <w:jc w:val="left"/>
              <w:rPr>
                <w:rFonts w:hint="eastAsia" w:ascii="宋体" w:hAnsi="宋体" w:eastAsia="宋体" w:cs="宋体"/>
                <w:kern w:val="2"/>
                <w:sz w:val="24"/>
                <w:szCs w:val="24"/>
                <w:lang w:val="en-US" w:eastAsia="zh-CN" w:bidi="ar-SA"/>
              </w:rPr>
            </w:pPr>
            <w:r>
              <w:rPr>
                <w:rFonts w:hint="eastAsia"/>
                <w:sz w:val="24"/>
              </w:rPr>
              <w:t>等离子模块反应器对以≤2.0米/秒风速通过的高浓度污染的MS-2噬菌体（φ20nm）气溶胶“一次过”杀菌率≥99.955%（提供第三方检测机构出具的证明文件）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jc w:val="center"/>
              <w:rPr>
                <w:rFonts w:hint="eastAsia" w:ascii="宋体" w:hAnsi="宋体" w:eastAsia="宋体" w:cs="宋体"/>
                <w:kern w:val="2"/>
                <w:sz w:val="24"/>
                <w:szCs w:val="24"/>
                <w:lang w:val="en-US" w:eastAsia="zh-CN" w:bidi="ar-SA"/>
              </w:rPr>
            </w:pPr>
            <w:r>
              <w:rPr>
                <w:rFonts w:hint="eastAsia"/>
                <w:sz w:val="24"/>
              </w:rPr>
              <w:t>＃</w:t>
            </w:r>
            <w:r>
              <w:rPr>
                <w:rFonts w:hint="eastAsia" w:ascii="宋体" w:hAnsi="宋体"/>
                <w:sz w:val="24"/>
              </w:rPr>
              <w:t>6</w:t>
            </w:r>
          </w:p>
        </w:tc>
        <w:tc>
          <w:tcPr>
            <w:tcW w:w="2542" w:type="dxa"/>
            <w:gridSpan w:val="3"/>
            <w:vAlign w:val="center"/>
          </w:tcPr>
          <w:p>
            <w:pPr>
              <w:jc w:val="center"/>
              <w:rPr>
                <w:rFonts w:hint="eastAsia" w:ascii="宋体" w:hAnsi="宋体" w:eastAsia="宋体" w:cs="宋体"/>
                <w:kern w:val="2"/>
                <w:sz w:val="24"/>
                <w:szCs w:val="24"/>
                <w:lang w:val="en-US" w:eastAsia="zh-CN" w:bidi="ar-SA"/>
              </w:rPr>
            </w:pPr>
            <w:r>
              <w:rPr>
                <w:rFonts w:hint="eastAsia"/>
                <w:sz w:val="24"/>
              </w:rPr>
              <w:t>黑曲霉“一次过”杀菌率实验</w:t>
            </w:r>
          </w:p>
        </w:tc>
        <w:tc>
          <w:tcPr>
            <w:tcW w:w="6539" w:type="dxa"/>
            <w:gridSpan w:val="3"/>
            <w:vAlign w:val="center"/>
          </w:tcPr>
          <w:p>
            <w:pPr>
              <w:jc w:val="left"/>
              <w:rPr>
                <w:rFonts w:hint="eastAsia" w:ascii="宋体" w:hAnsi="宋体" w:eastAsia="宋体" w:cs="宋体"/>
                <w:kern w:val="2"/>
                <w:sz w:val="24"/>
                <w:szCs w:val="24"/>
                <w:lang w:val="en-US" w:eastAsia="zh-CN" w:bidi="ar-SA"/>
              </w:rPr>
            </w:pPr>
            <w:r>
              <w:rPr>
                <w:rFonts w:hint="eastAsia"/>
                <w:sz w:val="24"/>
              </w:rPr>
              <w:t>等离子模块反应器对以≤2.0米/秒风速通过的高浓度污染的黑曲霉菌气溶胶“一次过”杀菌率均≥99%；（提供第三方检测机构出具的证明文件）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jc w:val="center"/>
              <w:rPr>
                <w:rFonts w:hint="eastAsia" w:ascii="宋体" w:hAnsi="宋体" w:eastAsia="宋体" w:cs="宋体"/>
                <w:kern w:val="2"/>
                <w:sz w:val="24"/>
                <w:szCs w:val="24"/>
                <w:lang w:val="en-US" w:eastAsia="zh-CN" w:bidi="ar-SA"/>
              </w:rPr>
            </w:pPr>
            <w:r>
              <w:rPr>
                <w:rFonts w:hint="eastAsia"/>
                <w:sz w:val="24"/>
              </w:rPr>
              <w:t>＃</w:t>
            </w:r>
            <w:r>
              <w:rPr>
                <w:rFonts w:hint="eastAsia" w:ascii="宋体" w:hAnsi="宋体"/>
                <w:sz w:val="24"/>
              </w:rPr>
              <w:t>7</w:t>
            </w:r>
          </w:p>
        </w:tc>
        <w:tc>
          <w:tcPr>
            <w:tcW w:w="2542" w:type="dxa"/>
            <w:gridSpan w:val="3"/>
            <w:vAlign w:val="center"/>
          </w:tcPr>
          <w:p>
            <w:pPr>
              <w:jc w:val="center"/>
              <w:rPr>
                <w:rFonts w:hint="eastAsia" w:ascii="宋体" w:hAnsi="宋体" w:eastAsia="宋体" w:cs="宋体"/>
                <w:kern w:val="2"/>
                <w:sz w:val="24"/>
                <w:szCs w:val="24"/>
                <w:lang w:val="en-US" w:eastAsia="zh-CN" w:bidi="ar-SA"/>
              </w:rPr>
            </w:pPr>
            <w:r>
              <w:rPr>
                <w:rFonts w:hint="eastAsia"/>
                <w:sz w:val="24"/>
              </w:rPr>
              <w:t>粘质沙雷氏菌“一次过”杀菌率实验</w:t>
            </w:r>
          </w:p>
        </w:tc>
        <w:tc>
          <w:tcPr>
            <w:tcW w:w="6539" w:type="dxa"/>
            <w:gridSpan w:val="3"/>
            <w:vAlign w:val="center"/>
          </w:tcPr>
          <w:p>
            <w:pPr>
              <w:jc w:val="left"/>
              <w:rPr>
                <w:rFonts w:hint="eastAsia" w:ascii="宋体" w:hAnsi="宋体" w:eastAsia="宋体" w:cs="宋体"/>
                <w:kern w:val="2"/>
                <w:sz w:val="24"/>
                <w:szCs w:val="24"/>
                <w:lang w:val="en-US" w:eastAsia="zh-CN" w:bidi="ar-SA"/>
              </w:rPr>
            </w:pPr>
            <w:r>
              <w:rPr>
                <w:rFonts w:hint="eastAsia"/>
                <w:sz w:val="24"/>
              </w:rPr>
              <w:t>等离子模块反应器对以≤2.0米/秒风速通过的高浓度污染的粘质沙雷氏菌气溶胶“一次过”杀菌率≥99%（提供第三方检测机构出具的证明文件）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jc w:val="center"/>
              <w:rPr>
                <w:rFonts w:hint="eastAsia" w:ascii="宋体" w:hAnsi="宋体" w:eastAsia="宋体" w:cs="宋体"/>
                <w:kern w:val="2"/>
                <w:sz w:val="24"/>
                <w:szCs w:val="24"/>
                <w:lang w:val="en-US" w:eastAsia="zh-CN" w:bidi="ar-SA"/>
              </w:rPr>
            </w:pPr>
            <w:r>
              <w:rPr>
                <w:rFonts w:hint="eastAsia"/>
                <w:sz w:val="24"/>
              </w:rPr>
              <w:t>＃</w:t>
            </w:r>
            <w:r>
              <w:rPr>
                <w:rFonts w:hint="eastAsia" w:ascii="宋体" w:hAnsi="宋体"/>
                <w:sz w:val="24"/>
              </w:rPr>
              <w:t>8</w:t>
            </w:r>
          </w:p>
        </w:tc>
        <w:tc>
          <w:tcPr>
            <w:tcW w:w="2542" w:type="dxa"/>
            <w:gridSpan w:val="3"/>
            <w:vAlign w:val="center"/>
          </w:tcPr>
          <w:p>
            <w:pPr>
              <w:jc w:val="center"/>
              <w:rPr>
                <w:rFonts w:hint="eastAsia" w:ascii="宋体" w:hAnsi="宋体" w:eastAsia="宋体" w:cs="宋体"/>
                <w:kern w:val="2"/>
                <w:sz w:val="24"/>
                <w:szCs w:val="24"/>
                <w:lang w:val="en-US" w:eastAsia="zh-CN" w:bidi="ar-SA"/>
              </w:rPr>
            </w:pPr>
            <w:r>
              <w:rPr>
                <w:rFonts w:hint="eastAsia"/>
                <w:sz w:val="24"/>
              </w:rPr>
              <w:t>枯草芽孢杆菌“一次过”杀菌率实验</w:t>
            </w:r>
          </w:p>
        </w:tc>
        <w:tc>
          <w:tcPr>
            <w:tcW w:w="6539" w:type="dxa"/>
            <w:gridSpan w:val="3"/>
            <w:vAlign w:val="center"/>
          </w:tcPr>
          <w:p>
            <w:pPr>
              <w:jc w:val="left"/>
              <w:rPr>
                <w:rFonts w:hint="eastAsia" w:ascii="宋体" w:hAnsi="宋体" w:eastAsia="宋体" w:cs="宋体"/>
                <w:kern w:val="2"/>
                <w:sz w:val="24"/>
                <w:szCs w:val="24"/>
                <w:lang w:val="en-US" w:eastAsia="zh-CN" w:bidi="ar-SA"/>
              </w:rPr>
            </w:pPr>
            <w:r>
              <w:rPr>
                <w:rFonts w:hint="eastAsia"/>
                <w:sz w:val="24"/>
              </w:rPr>
              <w:t>等离子模块反应器对以≤2.0米/秒风速通过的高浓度污染的枯草芽孢杆菌气溶胶“一次过”杀菌率≥99%（提供第三方检测机构出具的证明文件）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jc w:val="center"/>
              <w:rPr>
                <w:rFonts w:hint="eastAsia" w:ascii="宋体" w:hAnsi="宋体" w:eastAsia="宋体" w:cs="宋体"/>
                <w:kern w:val="2"/>
                <w:sz w:val="24"/>
                <w:szCs w:val="24"/>
                <w:lang w:val="en-US" w:eastAsia="zh-CN" w:bidi="ar-SA"/>
              </w:rPr>
            </w:pPr>
            <w:r>
              <w:rPr>
                <w:rFonts w:hint="eastAsia"/>
                <w:sz w:val="24"/>
              </w:rPr>
              <w:t>＃</w:t>
            </w:r>
            <w:r>
              <w:rPr>
                <w:rFonts w:hint="eastAsia" w:ascii="宋体" w:hAnsi="宋体"/>
                <w:sz w:val="24"/>
              </w:rPr>
              <w:t>9</w:t>
            </w:r>
          </w:p>
        </w:tc>
        <w:tc>
          <w:tcPr>
            <w:tcW w:w="2542" w:type="dxa"/>
            <w:gridSpan w:val="3"/>
            <w:vAlign w:val="center"/>
          </w:tcPr>
          <w:p>
            <w:pPr>
              <w:jc w:val="center"/>
              <w:rPr>
                <w:rFonts w:hint="eastAsia" w:ascii="宋体" w:hAnsi="宋体" w:eastAsia="宋体" w:cs="宋体"/>
                <w:kern w:val="2"/>
                <w:sz w:val="24"/>
                <w:szCs w:val="24"/>
                <w:lang w:val="en-US" w:eastAsia="zh-CN" w:bidi="ar-SA"/>
              </w:rPr>
            </w:pPr>
            <w:r>
              <w:rPr>
                <w:rFonts w:hint="eastAsia"/>
                <w:sz w:val="24"/>
              </w:rPr>
              <w:t>绿脓假单胞菌“一次过”杀菌率实验</w:t>
            </w:r>
          </w:p>
        </w:tc>
        <w:tc>
          <w:tcPr>
            <w:tcW w:w="6539" w:type="dxa"/>
            <w:gridSpan w:val="3"/>
            <w:vAlign w:val="center"/>
          </w:tcPr>
          <w:p>
            <w:pPr>
              <w:jc w:val="left"/>
              <w:rPr>
                <w:rFonts w:hint="eastAsia" w:ascii="宋体" w:hAnsi="宋体" w:eastAsia="宋体" w:cs="宋体"/>
                <w:kern w:val="2"/>
                <w:sz w:val="24"/>
                <w:szCs w:val="24"/>
                <w:lang w:val="en-US" w:eastAsia="zh-CN" w:bidi="ar-SA"/>
              </w:rPr>
            </w:pPr>
            <w:r>
              <w:rPr>
                <w:rFonts w:hint="eastAsia"/>
                <w:sz w:val="24"/>
              </w:rPr>
              <w:t>等离子模块反应器对以≤2.0米/秒风速通过的高浓度污染的绿脓假单胞菌气溶胶“一次过”杀菌率≥99%（提供第三方检测机构出具的证明文件）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jc w:val="center"/>
              <w:rPr>
                <w:rFonts w:hint="eastAsia" w:ascii="宋体" w:hAnsi="宋体" w:eastAsia="宋体" w:cs="宋体"/>
                <w:kern w:val="2"/>
                <w:sz w:val="24"/>
                <w:szCs w:val="24"/>
                <w:lang w:val="en-US" w:eastAsia="zh-CN" w:bidi="ar-SA"/>
              </w:rPr>
            </w:pPr>
            <w:r>
              <w:rPr>
                <w:rFonts w:hint="eastAsia"/>
                <w:sz w:val="24"/>
              </w:rPr>
              <w:t>＃</w:t>
            </w:r>
            <w:r>
              <w:rPr>
                <w:rFonts w:hint="eastAsia" w:ascii="宋体" w:hAnsi="宋体"/>
                <w:sz w:val="24"/>
              </w:rPr>
              <w:t>1</w:t>
            </w:r>
            <w:r>
              <w:rPr>
                <w:rFonts w:ascii="宋体" w:hAnsi="宋体"/>
                <w:sz w:val="24"/>
              </w:rPr>
              <w:t>0</w:t>
            </w:r>
          </w:p>
        </w:tc>
        <w:tc>
          <w:tcPr>
            <w:tcW w:w="2542" w:type="dxa"/>
            <w:gridSpan w:val="3"/>
            <w:vAlign w:val="center"/>
          </w:tcPr>
          <w:p>
            <w:pPr>
              <w:jc w:val="center"/>
              <w:rPr>
                <w:rFonts w:hint="eastAsia" w:ascii="宋体" w:hAnsi="宋体" w:eastAsia="宋体" w:cs="宋体"/>
                <w:kern w:val="2"/>
                <w:sz w:val="24"/>
                <w:szCs w:val="24"/>
                <w:lang w:val="en-US" w:eastAsia="zh-CN" w:bidi="ar-SA"/>
              </w:rPr>
            </w:pPr>
            <w:r>
              <w:rPr>
                <w:rFonts w:hint="eastAsia"/>
                <w:sz w:val="24"/>
              </w:rPr>
              <w:t>金黄色葡萄球菌“一次过”杀菌率实验</w:t>
            </w:r>
          </w:p>
        </w:tc>
        <w:tc>
          <w:tcPr>
            <w:tcW w:w="6539" w:type="dxa"/>
            <w:gridSpan w:val="3"/>
            <w:vAlign w:val="center"/>
          </w:tcPr>
          <w:p>
            <w:pPr>
              <w:jc w:val="left"/>
              <w:rPr>
                <w:rFonts w:hint="eastAsia" w:ascii="宋体" w:hAnsi="宋体" w:eastAsia="宋体" w:cs="宋体"/>
                <w:kern w:val="2"/>
                <w:sz w:val="24"/>
                <w:szCs w:val="24"/>
                <w:lang w:val="en-US" w:eastAsia="zh-CN" w:bidi="ar-SA"/>
              </w:rPr>
            </w:pPr>
            <w:r>
              <w:rPr>
                <w:rFonts w:hint="eastAsia"/>
                <w:sz w:val="24"/>
              </w:rPr>
              <w:t>等离子模块反应器对以≤2.0米/秒风速通过的高浓度污染的金黄色葡萄球菌气溶胶“一次过”杀菌率≥99.5%（提供第三方检测机构出具的证明文件）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jc w:val="center"/>
              <w:rPr>
                <w:rFonts w:hint="eastAsia" w:ascii="宋体" w:hAnsi="宋体" w:eastAsia="宋体" w:cs="宋体"/>
                <w:kern w:val="2"/>
                <w:sz w:val="24"/>
                <w:szCs w:val="24"/>
                <w:lang w:val="en-US" w:eastAsia="zh-CN" w:bidi="ar-SA"/>
              </w:rPr>
            </w:pPr>
            <w:r>
              <w:rPr>
                <w:rFonts w:hint="eastAsia"/>
                <w:sz w:val="24"/>
              </w:rPr>
              <w:t>＃</w:t>
            </w:r>
            <w:r>
              <w:rPr>
                <w:rFonts w:hint="eastAsia" w:ascii="宋体" w:hAnsi="宋体"/>
                <w:sz w:val="24"/>
              </w:rPr>
              <w:t>1</w:t>
            </w:r>
            <w:r>
              <w:rPr>
                <w:rFonts w:ascii="宋体" w:hAnsi="宋体"/>
                <w:sz w:val="24"/>
              </w:rPr>
              <w:t>1</w:t>
            </w:r>
          </w:p>
        </w:tc>
        <w:tc>
          <w:tcPr>
            <w:tcW w:w="2542" w:type="dxa"/>
            <w:gridSpan w:val="3"/>
            <w:vAlign w:val="center"/>
          </w:tcPr>
          <w:p>
            <w:pPr>
              <w:jc w:val="center"/>
              <w:rPr>
                <w:rFonts w:hint="eastAsia" w:ascii="宋体" w:hAnsi="宋体" w:eastAsia="宋体" w:cs="宋体"/>
                <w:kern w:val="2"/>
                <w:sz w:val="24"/>
                <w:szCs w:val="24"/>
                <w:lang w:val="en-US" w:eastAsia="zh-CN" w:bidi="ar-SA"/>
              </w:rPr>
            </w:pPr>
            <w:r>
              <w:rPr>
                <w:rFonts w:hint="eastAsia"/>
                <w:sz w:val="24"/>
              </w:rPr>
              <w:t>设备风量</w:t>
            </w:r>
          </w:p>
        </w:tc>
        <w:tc>
          <w:tcPr>
            <w:tcW w:w="6539" w:type="dxa"/>
            <w:gridSpan w:val="3"/>
            <w:vAlign w:val="center"/>
          </w:tcPr>
          <w:p>
            <w:pPr>
              <w:jc w:val="left"/>
              <w:rPr>
                <w:rFonts w:hint="eastAsia" w:ascii="宋体" w:hAnsi="宋体" w:eastAsia="宋体" w:cs="宋体"/>
                <w:kern w:val="2"/>
                <w:sz w:val="24"/>
                <w:szCs w:val="24"/>
                <w:lang w:val="en-US" w:eastAsia="zh-CN" w:bidi="ar-SA"/>
              </w:rPr>
            </w:pPr>
            <w:r>
              <w:rPr>
                <w:rFonts w:hint="eastAsia"/>
                <w:sz w:val="24"/>
              </w:rPr>
              <w:t>风量≥2500 m</w:t>
            </w:r>
            <w:r>
              <w:rPr>
                <w:rFonts w:hint="eastAsia"/>
                <w:sz w:val="24"/>
                <w:vertAlign w:val="superscript"/>
              </w:rPr>
              <w:t>3</w:t>
            </w:r>
            <w:r>
              <w:rPr>
                <w:rFonts w:hint="eastAsia"/>
                <w:sz w:val="24"/>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jc w:val="center"/>
              <w:rPr>
                <w:rFonts w:hint="eastAsia" w:ascii="宋体" w:hAnsi="宋体" w:eastAsia="宋体" w:cs="宋体"/>
                <w:kern w:val="2"/>
                <w:sz w:val="24"/>
                <w:szCs w:val="24"/>
                <w:lang w:val="en-US" w:eastAsia="zh-CN" w:bidi="ar-SA"/>
              </w:rPr>
            </w:pPr>
            <w:r>
              <w:rPr>
                <w:rFonts w:hint="eastAsia"/>
                <w:sz w:val="24"/>
              </w:rPr>
              <w:t>＃</w:t>
            </w:r>
            <w:r>
              <w:rPr>
                <w:rFonts w:hint="eastAsia" w:ascii="宋体" w:hAnsi="宋体"/>
                <w:sz w:val="24"/>
              </w:rPr>
              <w:t>1</w:t>
            </w:r>
            <w:r>
              <w:rPr>
                <w:rFonts w:ascii="宋体" w:hAnsi="宋体"/>
                <w:sz w:val="24"/>
              </w:rPr>
              <w:t>2</w:t>
            </w:r>
          </w:p>
        </w:tc>
        <w:tc>
          <w:tcPr>
            <w:tcW w:w="2542" w:type="dxa"/>
            <w:gridSpan w:val="3"/>
            <w:vAlign w:val="center"/>
          </w:tcPr>
          <w:p>
            <w:pPr>
              <w:jc w:val="center"/>
              <w:rPr>
                <w:rFonts w:hint="eastAsia" w:ascii="宋体" w:hAnsi="宋体" w:eastAsia="宋体" w:cs="宋体"/>
                <w:kern w:val="2"/>
                <w:sz w:val="24"/>
                <w:szCs w:val="24"/>
                <w:lang w:val="en-US" w:eastAsia="zh-CN" w:bidi="ar-SA"/>
              </w:rPr>
            </w:pPr>
            <w:r>
              <w:rPr>
                <w:rFonts w:hint="eastAsia"/>
                <w:sz w:val="24"/>
              </w:rPr>
              <w:t>使用范围</w:t>
            </w:r>
          </w:p>
        </w:tc>
        <w:tc>
          <w:tcPr>
            <w:tcW w:w="6539" w:type="dxa"/>
            <w:gridSpan w:val="3"/>
            <w:vAlign w:val="center"/>
          </w:tcPr>
          <w:p>
            <w:pPr>
              <w:jc w:val="left"/>
              <w:rPr>
                <w:rFonts w:hint="eastAsia" w:ascii="宋体" w:hAnsi="宋体" w:eastAsia="宋体" w:cs="宋体"/>
                <w:kern w:val="2"/>
                <w:sz w:val="24"/>
                <w:szCs w:val="24"/>
                <w:lang w:val="en-US" w:eastAsia="zh-CN" w:bidi="ar-SA"/>
              </w:rPr>
            </w:pPr>
            <w:r>
              <w:rPr>
                <w:rFonts w:hint="eastAsia"/>
                <w:sz w:val="24"/>
              </w:rPr>
              <w:t>使用范围：≥160m</w:t>
            </w:r>
            <w:r>
              <w:rPr>
                <w:rFonts w:hint="eastAsia"/>
                <w:sz w:val="24"/>
                <w:vertAlign w:val="superscript"/>
              </w:rPr>
              <w:t>3</w:t>
            </w:r>
            <w:r>
              <w:rPr>
                <w:rFonts w:hint="eastAsia"/>
                <w:sz w:val="24"/>
              </w:rPr>
              <w:t>（提供省级或省级以上取得计量认证（CMA）合格证书的检测机构出具的检测报告）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jc w:val="center"/>
              <w:rPr>
                <w:rFonts w:hint="eastAsia" w:ascii="宋体" w:hAnsi="宋体" w:eastAsia="宋体" w:cs="宋体"/>
                <w:kern w:val="2"/>
                <w:sz w:val="24"/>
                <w:szCs w:val="24"/>
                <w:lang w:val="en-US" w:eastAsia="zh-CN" w:bidi="ar-SA"/>
              </w:rPr>
            </w:pPr>
            <w:r>
              <w:rPr>
                <w:rFonts w:hint="eastAsia"/>
                <w:sz w:val="24"/>
              </w:rPr>
              <w:t>＃</w:t>
            </w:r>
            <w:r>
              <w:rPr>
                <w:rFonts w:hint="eastAsia" w:ascii="宋体" w:hAnsi="宋体"/>
                <w:sz w:val="24"/>
              </w:rPr>
              <w:t>1</w:t>
            </w:r>
            <w:r>
              <w:rPr>
                <w:rFonts w:ascii="宋体" w:hAnsi="宋体"/>
                <w:sz w:val="24"/>
              </w:rPr>
              <w:t>3</w:t>
            </w:r>
          </w:p>
        </w:tc>
        <w:tc>
          <w:tcPr>
            <w:tcW w:w="2542" w:type="dxa"/>
            <w:gridSpan w:val="3"/>
            <w:vAlign w:val="center"/>
          </w:tcPr>
          <w:p>
            <w:pPr>
              <w:jc w:val="center"/>
              <w:rPr>
                <w:rFonts w:hint="eastAsia" w:ascii="宋体" w:hAnsi="宋体" w:eastAsia="宋体" w:cs="宋体"/>
                <w:kern w:val="2"/>
                <w:sz w:val="24"/>
                <w:szCs w:val="24"/>
                <w:lang w:val="en-US" w:eastAsia="zh-CN" w:bidi="ar-SA"/>
              </w:rPr>
            </w:pPr>
            <w:r>
              <w:rPr>
                <w:rFonts w:hint="eastAsia"/>
                <w:sz w:val="24"/>
              </w:rPr>
              <w:t>臭氧残留量</w:t>
            </w:r>
          </w:p>
        </w:tc>
        <w:tc>
          <w:tcPr>
            <w:tcW w:w="6539" w:type="dxa"/>
            <w:gridSpan w:val="3"/>
            <w:vAlign w:val="center"/>
          </w:tcPr>
          <w:p>
            <w:pPr>
              <w:jc w:val="left"/>
              <w:rPr>
                <w:rFonts w:hint="eastAsia" w:ascii="宋体" w:hAnsi="宋体" w:eastAsia="宋体" w:cs="宋体"/>
                <w:kern w:val="2"/>
                <w:sz w:val="24"/>
                <w:szCs w:val="24"/>
                <w:lang w:val="en-US" w:eastAsia="zh-CN" w:bidi="ar-SA"/>
              </w:rPr>
            </w:pPr>
            <w:r>
              <w:rPr>
                <w:rFonts w:hint="eastAsia"/>
                <w:sz w:val="24"/>
              </w:rPr>
              <w:t>臭氧残留量（开机60分钟后）：＜0.001 mg/m</w:t>
            </w:r>
            <w:r>
              <w:rPr>
                <w:rFonts w:hint="eastAsia"/>
                <w:sz w:val="24"/>
                <w:vertAlign w:val="superscript"/>
              </w:rPr>
              <w:t>3</w:t>
            </w:r>
            <w:r>
              <w:rPr>
                <w:rFonts w:hint="eastAsia"/>
                <w:sz w:val="24"/>
              </w:rPr>
              <w:t>（提供省市级或以上取得计量认证（CMA）合格证书的检测机构出具的检测报告）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jc w:val="center"/>
              <w:rPr>
                <w:rFonts w:hint="eastAsia" w:ascii="宋体" w:hAnsi="宋体" w:eastAsia="宋体" w:cs="宋体"/>
                <w:kern w:val="2"/>
                <w:sz w:val="24"/>
                <w:szCs w:val="24"/>
                <w:lang w:val="en-US" w:eastAsia="zh-CN" w:bidi="ar-SA"/>
              </w:rPr>
            </w:pPr>
            <w:r>
              <w:rPr>
                <w:rFonts w:hint="eastAsia" w:ascii="宋体" w:hAnsi="宋体"/>
                <w:sz w:val="24"/>
              </w:rPr>
              <w:t>14</w:t>
            </w:r>
          </w:p>
        </w:tc>
        <w:tc>
          <w:tcPr>
            <w:tcW w:w="2542" w:type="dxa"/>
            <w:gridSpan w:val="3"/>
            <w:vAlign w:val="center"/>
          </w:tcPr>
          <w:p>
            <w:pPr>
              <w:jc w:val="center"/>
              <w:rPr>
                <w:rFonts w:hint="eastAsia" w:ascii="宋体" w:hAnsi="宋体" w:eastAsia="宋体" w:cs="宋体"/>
                <w:kern w:val="2"/>
                <w:sz w:val="24"/>
                <w:szCs w:val="24"/>
                <w:lang w:val="en-US" w:eastAsia="zh-CN" w:bidi="ar-SA"/>
              </w:rPr>
            </w:pPr>
            <w:r>
              <w:rPr>
                <w:rFonts w:hint="eastAsia"/>
                <w:sz w:val="24"/>
              </w:rPr>
              <w:t>气态污染物（甲醛）检测试验</w:t>
            </w:r>
          </w:p>
        </w:tc>
        <w:tc>
          <w:tcPr>
            <w:tcW w:w="6539" w:type="dxa"/>
            <w:gridSpan w:val="3"/>
            <w:vAlign w:val="center"/>
          </w:tcPr>
          <w:p>
            <w:pPr>
              <w:jc w:val="left"/>
              <w:rPr>
                <w:rFonts w:hint="eastAsia" w:ascii="宋体" w:hAnsi="宋体" w:eastAsia="宋体" w:cs="宋体"/>
                <w:kern w:val="2"/>
                <w:sz w:val="24"/>
                <w:szCs w:val="24"/>
                <w:lang w:val="en-US" w:eastAsia="zh-CN" w:bidi="ar-SA"/>
              </w:rPr>
            </w:pPr>
            <w:r>
              <w:rPr>
                <w:rFonts w:hint="eastAsia"/>
                <w:sz w:val="24"/>
              </w:rPr>
              <w:t>气态污染物（甲醛）洁净空气量（CADR）实测值：≥780 m</w:t>
            </w:r>
            <w:r>
              <w:rPr>
                <w:rFonts w:hint="eastAsia"/>
                <w:sz w:val="24"/>
                <w:vertAlign w:val="superscript"/>
              </w:rPr>
              <w:t>3</w:t>
            </w:r>
            <w:r>
              <w:rPr>
                <w:rFonts w:hint="eastAsia"/>
                <w:sz w:val="24"/>
              </w:rPr>
              <w:t>/h；（提供省级或省级以上取得计量认证（CMA）合格证书的检测机构出具的检测报告）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jc w:val="center"/>
              <w:rPr>
                <w:rFonts w:hint="eastAsia" w:ascii="宋体" w:hAnsi="宋体" w:eastAsia="宋体" w:cs="宋体"/>
                <w:kern w:val="2"/>
                <w:sz w:val="24"/>
                <w:szCs w:val="24"/>
                <w:lang w:val="en-US" w:eastAsia="zh-CN" w:bidi="ar-SA"/>
              </w:rPr>
            </w:pPr>
            <w:r>
              <w:rPr>
                <w:rFonts w:hint="eastAsia" w:ascii="宋体" w:hAnsi="宋体"/>
                <w:sz w:val="24"/>
              </w:rPr>
              <w:t>15</w:t>
            </w:r>
          </w:p>
        </w:tc>
        <w:tc>
          <w:tcPr>
            <w:tcW w:w="2542" w:type="dxa"/>
            <w:gridSpan w:val="3"/>
            <w:vAlign w:val="center"/>
          </w:tcPr>
          <w:p>
            <w:pPr>
              <w:jc w:val="center"/>
              <w:rPr>
                <w:rFonts w:hint="eastAsia" w:ascii="宋体" w:hAnsi="宋体" w:eastAsia="宋体" w:cs="宋体"/>
                <w:kern w:val="2"/>
                <w:sz w:val="24"/>
                <w:szCs w:val="24"/>
                <w:lang w:val="en-US" w:eastAsia="zh-CN" w:bidi="ar-SA"/>
              </w:rPr>
            </w:pPr>
            <w:r>
              <w:rPr>
                <w:rFonts w:hint="eastAsia"/>
                <w:sz w:val="24"/>
              </w:rPr>
              <w:t>气态污染物（TVOC）检测试验</w:t>
            </w:r>
          </w:p>
        </w:tc>
        <w:tc>
          <w:tcPr>
            <w:tcW w:w="6539" w:type="dxa"/>
            <w:gridSpan w:val="3"/>
            <w:vAlign w:val="center"/>
          </w:tcPr>
          <w:p>
            <w:pPr>
              <w:jc w:val="left"/>
              <w:rPr>
                <w:rFonts w:hint="eastAsia" w:ascii="宋体" w:hAnsi="宋体" w:eastAsia="宋体" w:cs="宋体"/>
                <w:kern w:val="2"/>
                <w:sz w:val="24"/>
                <w:szCs w:val="24"/>
                <w:lang w:val="en-US" w:eastAsia="zh-CN" w:bidi="ar-SA"/>
              </w:rPr>
            </w:pPr>
            <w:r>
              <w:rPr>
                <w:rFonts w:hint="eastAsia"/>
                <w:sz w:val="24"/>
              </w:rPr>
              <w:t>气态污染物（TVOC）洁净空气量（CADR）实测值：≥640 m</w:t>
            </w:r>
            <w:r>
              <w:rPr>
                <w:rFonts w:hint="eastAsia"/>
                <w:sz w:val="24"/>
                <w:vertAlign w:val="superscript"/>
              </w:rPr>
              <w:t>3</w:t>
            </w:r>
            <w:r>
              <w:rPr>
                <w:rFonts w:hint="eastAsia"/>
                <w:sz w:val="24"/>
              </w:rPr>
              <w:t>/h；（提供省级或省级以上取得计量认证（CMA）合格证书的检测机构出具的检测报告）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jc w:val="center"/>
              <w:rPr>
                <w:rFonts w:hint="eastAsia" w:ascii="宋体" w:hAnsi="宋体" w:eastAsia="宋体" w:cs="宋体"/>
                <w:kern w:val="2"/>
                <w:sz w:val="24"/>
                <w:szCs w:val="24"/>
                <w:lang w:val="en-US" w:eastAsia="zh-CN" w:bidi="ar-SA"/>
              </w:rPr>
            </w:pPr>
            <w:r>
              <w:rPr>
                <w:rFonts w:hint="eastAsia" w:ascii="宋体" w:hAnsi="宋体"/>
                <w:sz w:val="24"/>
              </w:rPr>
              <w:t>16</w:t>
            </w:r>
          </w:p>
        </w:tc>
        <w:tc>
          <w:tcPr>
            <w:tcW w:w="2542" w:type="dxa"/>
            <w:gridSpan w:val="3"/>
            <w:vAlign w:val="center"/>
          </w:tcPr>
          <w:p>
            <w:pPr>
              <w:jc w:val="center"/>
              <w:rPr>
                <w:rFonts w:hint="eastAsia" w:ascii="宋体" w:hAnsi="宋体" w:eastAsia="宋体" w:cs="宋体"/>
                <w:kern w:val="2"/>
                <w:sz w:val="24"/>
                <w:szCs w:val="24"/>
                <w:lang w:val="en-US" w:eastAsia="zh-CN" w:bidi="ar-SA"/>
              </w:rPr>
            </w:pPr>
            <w:r>
              <w:rPr>
                <w:rFonts w:hint="eastAsia"/>
                <w:sz w:val="24"/>
              </w:rPr>
              <w:t>等离子密度</w:t>
            </w:r>
          </w:p>
        </w:tc>
        <w:tc>
          <w:tcPr>
            <w:tcW w:w="6539" w:type="dxa"/>
            <w:gridSpan w:val="3"/>
            <w:vAlign w:val="center"/>
          </w:tcPr>
          <w:p>
            <w:pPr>
              <w:jc w:val="left"/>
              <w:rPr>
                <w:rFonts w:hint="eastAsia" w:ascii="宋体" w:hAnsi="宋体" w:eastAsia="宋体" w:cs="宋体"/>
                <w:kern w:val="2"/>
                <w:sz w:val="24"/>
                <w:szCs w:val="24"/>
                <w:lang w:val="en-US" w:eastAsia="zh-CN" w:bidi="ar-SA"/>
              </w:rPr>
            </w:pPr>
            <w:r>
              <w:rPr>
                <w:rFonts w:hint="eastAsia"/>
                <w:sz w:val="24"/>
              </w:rPr>
              <w:t>等离子模块的等离子密度：≥1.3*10</w:t>
            </w:r>
            <w:r>
              <w:rPr>
                <w:rFonts w:hint="eastAsia"/>
                <w:sz w:val="24"/>
                <w:vertAlign w:val="superscript"/>
              </w:rPr>
              <w:t>19</w:t>
            </w:r>
            <w:r>
              <w:rPr>
                <w:rFonts w:hint="eastAsia"/>
                <w:sz w:val="24"/>
              </w:rPr>
              <w:t>m</w:t>
            </w:r>
            <w:r>
              <w:rPr>
                <w:rFonts w:hint="eastAsia"/>
                <w:sz w:val="24"/>
                <w:vertAlign w:val="superscript"/>
              </w:rPr>
              <w:t>-3</w:t>
            </w:r>
            <w:r>
              <w:rPr>
                <w:rFonts w:hint="eastAsia"/>
                <w:sz w:val="24"/>
              </w:rPr>
              <w:t xml:space="preserve"> (须提供检测机构出具的检测报告)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Merge w:val="restart"/>
            <w:vAlign w:val="center"/>
          </w:tcPr>
          <w:p>
            <w:pPr>
              <w:jc w:val="center"/>
              <w:rPr>
                <w:rFonts w:hint="eastAsia" w:ascii="宋体" w:hAnsi="宋体" w:eastAsia="宋体" w:cs="宋体"/>
                <w:kern w:val="2"/>
                <w:sz w:val="24"/>
                <w:szCs w:val="24"/>
                <w:lang w:val="en-US" w:eastAsia="zh-CN" w:bidi="ar-SA"/>
              </w:rPr>
            </w:pPr>
            <w:r>
              <w:rPr>
                <w:rFonts w:ascii="宋体" w:hAnsi="宋体"/>
                <w:sz w:val="24"/>
              </w:rPr>
              <w:t>1</w:t>
            </w:r>
            <w:r>
              <w:rPr>
                <w:rFonts w:hint="eastAsia" w:ascii="宋体" w:hAnsi="宋体"/>
                <w:sz w:val="24"/>
              </w:rPr>
              <w:t>7</w:t>
            </w:r>
          </w:p>
        </w:tc>
        <w:tc>
          <w:tcPr>
            <w:tcW w:w="2542" w:type="dxa"/>
            <w:gridSpan w:val="3"/>
            <w:vMerge w:val="restart"/>
            <w:vAlign w:val="center"/>
          </w:tcPr>
          <w:p>
            <w:pPr>
              <w:jc w:val="center"/>
              <w:rPr>
                <w:rFonts w:hint="eastAsia" w:ascii="宋体" w:hAnsi="宋体" w:eastAsia="宋体" w:cs="宋体"/>
                <w:kern w:val="2"/>
                <w:sz w:val="24"/>
                <w:szCs w:val="24"/>
                <w:lang w:val="en-US" w:eastAsia="zh-CN" w:bidi="ar-SA"/>
              </w:rPr>
            </w:pPr>
            <w:r>
              <w:rPr>
                <w:rFonts w:hint="eastAsia" w:ascii="宋体" w:hAnsi="宋体"/>
                <w:sz w:val="24"/>
              </w:rPr>
              <w:t>空气消毒效果</w:t>
            </w:r>
          </w:p>
        </w:tc>
        <w:tc>
          <w:tcPr>
            <w:tcW w:w="6539" w:type="dxa"/>
            <w:gridSpan w:val="3"/>
            <w:vAlign w:val="center"/>
          </w:tcPr>
          <w:p>
            <w:pPr>
              <w:jc w:val="left"/>
              <w:rPr>
                <w:rFonts w:hint="eastAsia" w:ascii="宋体" w:hAnsi="宋体" w:eastAsia="宋体" w:cs="宋体"/>
                <w:kern w:val="2"/>
                <w:sz w:val="24"/>
                <w:szCs w:val="24"/>
                <w:lang w:val="en-US" w:eastAsia="zh-CN" w:bidi="ar-SA"/>
              </w:rPr>
            </w:pPr>
            <w:r>
              <w:rPr>
                <w:rFonts w:hint="eastAsia"/>
                <w:sz w:val="24"/>
              </w:rPr>
              <w:t>★17.1空气消毒效果模拟现场试验运行时间≤30分钟，实验空间≥20m</w:t>
            </w:r>
            <w:r>
              <w:rPr>
                <w:rFonts w:hint="eastAsia"/>
                <w:sz w:val="24"/>
                <w:vertAlign w:val="superscript"/>
              </w:rPr>
              <w:t>3</w:t>
            </w:r>
            <w:r>
              <w:rPr>
                <w:rFonts w:hint="eastAsia"/>
                <w:sz w:val="24"/>
              </w:rPr>
              <w:t>，白色葡萄球菌杀灭率：≥99.9%（提供省市级或以上取得计量认证（CMA）合格证书的检测机构出具的检测报告上注明的使用范围）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Merge w:val="continue"/>
            <w:tcBorders/>
            <w:vAlign w:val="center"/>
          </w:tcPr>
          <w:p>
            <w:pPr>
              <w:jc w:val="center"/>
              <w:rPr>
                <w:rFonts w:hint="eastAsia" w:ascii="宋体" w:hAnsi="宋体" w:cs="宋体"/>
                <w:color w:val="auto"/>
              </w:rPr>
            </w:pPr>
          </w:p>
        </w:tc>
        <w:tc>
          <w:tcPr>
            <w:tcW w:w="2542" w:type="dxa"/>
            <w:gridSpan w:val="3"/>
            <w:vMerge w:val="continue"/>
            <w:tcBorders/>
            <w:vAlign w:val="center"/>
          </w:tcPr>
          <w:p>
            <w:pPr>
              <w:jc w:val="center"/>
              <w:rPr>
                <w:rFonts w:hint="eastAsia" w:ascii="宋体" w:hAnsi="宋体" w:cs="宋体"/>
                <w:color w:val="auto"/>
              </w:rPr>
            </w:pPr>
          </w:p>
        </w:tc>
        <w:tc>
          <w:tcPr>
            <w:tcW w:w="6539" w:type="dxa"/>
            <w:gridSpan w:val="3"/>
            <w:vAlign w:val="center"/>
          </w:tcPr>
          <w:p>
            <w:pPr>
              <w:jc w:val="left"/>
              <w:rPr>
                <w:rFonts w:hint="eastAsia" w:ascii="宋体" w:hAnsi="宋体" w:eastAsia="宋体" w:cs="宋体"/>
                <w:kern w:val="2"/>
                <w:sz w:val="24"/>
                <w:szCs w:val="24"/>
                <w:lang w:val="en-US" w:eastAsia="zh-CN" w:bidi="ar-SA"/>
              </w:rPr>
            </w:pPr>
            <w:r>
              <w:rPr>
                <w:rFonts w:hint="eastAsia"/>
                <w:sz w:val="24"/>
              </w:rPr>
              <w:t>★17.2 空气消毒效果现场试验运行时间≤60分钟，实验空间≥30m</w:t>
            </w:r>
            <w:r>
              <w:rPr>
                <w:rFonts w:hint="eastAsia"/>
                <w:sz w:val="24"/>
                <w:vertAlign w:val="superscript"/>
              </w:rPr>
              <w:t>3</w:t>
            </w:r>
            <w:r>
              <w:rPr>
                <w:rFonts w:hint="eastAsia"/>
                <w:sz w:val="24"/>
              </w:rPr>
              <w:t>，自然菌消亡率：≥95%（提供省市级或以上取得计量认证（CMA）合格证书的检测机构出具的检测报告上注明的使用范围）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1478" w:hRule="atLeast"/>
          <w:jc w:val="center"/>
        </w:trPr>
        <w:tc>
          <w:tcPr>
            <w:tcW w:w="767" w:type="dxa"/>
            <w:vMerge w:val="continue"/>
            <w:tcBorders/>
            <w:vAlign w:val="center"/>
          </w:tcPr>
          <w:p>
            <w:pPr>
              <w:jc w:val="center"/>
              <w:rPr>
                <w:rFonts w:hint="eastAsia" w:ascii="宋体" w:hAnsi="宋体" w:cs="宋体"/>
                <w:color w:val="auto"/>
              </w:rPr>
            </w:pPr>
          </w:p>
        </w:tc>
        <w:tc>
          <w:tcPr>
            <w:tcW w:w="2542" w:type="dxa"/>
            <w:gridSpan w:val="3"/>
            <w:vMerge w:val="continue"/>
            <w:tcBorders/>
            <w:vAlign w:val="center"/>
          </w:tcPr>
          <w:p>
            <w:pPr>
              <w:jc w:val="center"/>
              <w:rPr>
                <w:rFonts w:hint="eastAsia" w:ascii="宋体" w:hAnsi="宋体" w:cs="宋体"/>
                <w:color w:val="auto"/>
              </w:rPr>
            </w:pPr>
          </w:p>
        </w:tc>
        <w:tc>
          <w:tcPr>
            <w:tcW w:w="6539" w:type="dxa"/>
            <w:gridSpan w:val="3"/>
            <w:vAlign w:val="center"/>
          </w:tcPr>
          <w:p>
            <w:pPr>
              <w:rPr>
                <w:rFonts w:hint="eastAsia" w:ascii="宋体" w:hAnsi="宋体" w:eastAsia="宋体" w:cs="宋体"/>
                <w:b/>
                <w:kern w:val="2"/>
                <w:sz w:val="28"/>
                <w:szCs w:val="28"/>
                <w:lang w:val="en-US" w:eastAsia="zh-CN" w:bidi="ar-SA"/>
              </w:rPr>
            </w:pPr>
            <w:r>
              <w:rPr>
                <w:rFonts w:hint="eastAsia"/>
                <w:sz w:val="24"/>
              </w:rPr>
              <w:t>＃17.3单独等离子模块(主机内拆除所有过滤和消毒技术模块，仅保留等离子体模块) ，运行时间≤60分钟，实验空间≥30m</w:t>
            </w:r>
            <w:r>
              <w:rPr>
                <w:rFonts w:hint="eastAsia"/>
                <w:sz w:val="24"/>
                <w:vertAlign w:val="superscript"/>
              </w:rPr>
              <w:t>3</w:t>
            </w:r>
            <w:r>
              <w:rPr>
                <w:rFonts w:hint="eastAsia"/>
                <w:sz w:val="24"/>
              </w:rPr>
              <w:t>灭菌率：≥99.99%（提供省市级或以上取得计量认证（CMA）合格证书的检测机构出具的检测报告）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1196" w:hRule="atLeast"/>
          <w:jc w:val="center"/>
        </w:trPr>
        <w:tc>
          <w:tcPr>
            <w:tcW w:w="767" w:type="dxa"/>
            <w:vAlign w:val="center"/>
          </w:tcPr>
          <w:p>
            <w:pPr>
              <w:jc w:val="center"/>
              <w:rPr>
                <w:rFonts w:hint="eastAsia" w:ascii="宋体" w:hAnsi="宋体" w:eastAsia="宋体" w:cs="宋体"/>
                <w:bCs/>
                <w:kern w:val="2"/>
                <w:sz w:val="24"/>
                <w:szCs w:val="24"/>
                <w:lang w:val="en-US" w:eastAsia="zh-CN" w:bidi="ar-SA"/>
              </w:rPr>
            </w:pPr>
            <w:r>
              <w:rPr>
                <w:rFonts w:hint="eastAsia" w:ascii="宋体" w:hAnsi="宋体"/>
                <w:bCs/>
                <w:sz w:val="24"/>
              </w:rPr>
              <w:t>18</w:t>
            </w:r>
          </w:p>
        </w:tc>
        <w:tc>
          <w:tcPr>
            <w:tcW w:w="2542" w:type="dxa"/>
            <w:gridSpan w:val="3"/>
            <w:vAlign w:val="center"/>
          </w:tcPr>
          <w:p>
            <w:pPr>
              <w:jc w:val="center"/>
              <w:rPr>
                <w:rFonts w:hint="eastAsia" w:ascii="宋体" w:hAnsi="宋体" w:eastAsia="宋体" w:cs="宋体"/>
                <w:bCs/>
                <w:kern w:val="2"/>
                <w:sz w:val="24"/>
                <w:szCs w:val="24"/>
                <w:lang w:val="en-US" w:eastAsia="zh-CN" w:bidi="ar-SA"/>
              </w:rPr>
            </w:pPr>
            <w:r>
              <w:rPr>
                <w:rFonts w:hint="eastAsia"/>
                <w:sz w:val="24"/>
              </w:rPr>
              <w:t>故障代码</w:t>
            </w:r>
          </w:p>
        </w:tc>
        <w:tc>
          <w:tcPr>
            <w:tcW w:w="6539" w:type="dxa"/>
            <w:gridSpan w:val="3"/>
            <w:vAlign w:val="center"/>
          </w:tcPr>
          <w:p>
            <w:pPr>
              <w:rPr>
                <w:rFonts w:hint="eastAsia" w:ascii="宋体" w:hAnsi="宋体" w:eastAsia="宋体" w:cs="宋体"/>
                <w:b/>
                <w:kern w:val="2"/>
                <w:sz w:val="28"/>
                <w:szCs w:val="28"/>
                <w:lang w:val="en-US" w:eastAsia="zh-CN" w:bidi="ar-SA"/>
              </w:rPr>
            </w:pPr>
            <w:r>
              <w:rPr>
                <w:rFonts w:hint="eastAsia"/>
                <w:sz w:val="24"/>
              </w:rPr>
              <w:t>设备出现性能下降或故障有自动警告或警报功能，并显示故障识别代码，警告识别代码数量≥8个；警报识别代码数量≥7个</w:t>
            </w:r>
            <w:r>
              <w:rPr>
                <w:rFonts w:hint="eastAsia"/>
                <w:color w:val="000000"/>
                <w:sz w:val="24"/>
              </w:rPr>
              <w:t>（提供说明书）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jc w:val="center"/>
              <w:rPr>
                <w:rFonts w:hint="eastAsia" w:ascii="宋体" w:hAnsi="宋体" w:eastAsia="宋体" w:cs="宋体"/>
                <w:bCs/>
                <w:kern w:val="2"/>
                <w:sz w:val="24"/>
                <w:szCs w:val="24"/>
                <w:lang w:val="en-US" w:eastAsia="zh-CN" w:bidi="ar-SA"/>
              </w:rPr>
            </w:pPr>
            <w:r>
              <w:rPr>
                <w:rFonts w:hint="eastAsia"/>
                <w:sz w:val="24"/>
              </w:rPr>
              <w:t>＃</w:t>
            </w:r>
            <w:r>
              <w:rPr>
                <w:rFonts w:hint="eastAsia" w:ascii="宋体" w:hAnsi="宋体"/>
                <w:bCs/>
                <w:sz w:val="24"/>
              </w:rPr>
              <w:t>19</w:t>
            </w:r>
          </w:p>
        </w:tc>
        <w:tc>
          <w:tcPr>
            <w:tcW w:w="2542" w:type="dxa"/>
            <w:gridSpan w:val="3"/>
            <w:vAlign w:val="center"/>
          </w:tcPr>
          <w:p>
            <w:pPr>
              <w:jc w:val="center"/>
              <w:rPr>
                <w:rFonts w:hint="eastAsia" w:ascii="宋体" w:hAnsi="宋体" w:eastAsia="宋体" w:cs="宋体"/>
                <w:bCs/>
                <w:kern w:val="2"/>
                <w:sz w:val="24"/>
                <w:szCs w:val="24"/>
                <w:lang w:val="en-US" w:eastAsia="zh-CN" w:bidi="ar-SA"/>
              </w:rPr>
            </w:pPr>
            <w:r>
              <w:rPr>
                <w:rFonts w:hint="eastAsia"/>
                <w:sz w:val="24"/>
              </w:rPr>
              <w:t>噪音</w:t>
            </w:r>
          </w:p>
        </w:tc>
        <w:tc>
          <w:tcPr>
            <w:tcW w:w="6539" w:type="dxa"/>
            <w:gridSpan w:val="3"/>
            <w:vAlign w:val="center"/>
          </w:tcPr>
          <w:p>
            <w:pPr>
              <w:jc w:val="left"/>
              <w:rPr>
                <w:rFonts w:hint="eastAsia" w:ascii="宋体" w:hAnsi="宋体" w:eastAsia="宋体" w:cs="宋体"/>
                <w:color w:val="000000"/>
                <w:kern w:val="2"/>
                <w:sz w:val="24"/>
                <w:szCs w:val="24"/>
                <w:highlight w:val="yellow"/>
                <w:lang w:val="en-US" w:eastAsia="zh-CN" w:bidi="ar-SA"/>
              </w:rPr>
            </w:pPr>
            <w:r>
              <w:rPr>
                <w:rFonts w:hint="eastAsia"/>
                <w:color w:val="000000"/>
                <w:sz w:val="24"/>
              </w:rPr>
              <w:t>夜间模式≤30db，日间模式≤60db（一，需提供产品说明书。二，需提供全国消毒产品网上备案信息说明书截图。两者需一致）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7"/>
            <w:vAlign w:val="center"/>
          </w:tcPr>
          <w:p>
            <w:pPr>
              <w:jc w:val="center"/>
              <w:rPr>
                <w:rFonts w:hint="default" w:ascii="宋体" w:hAnsi="宋体" w:eastAsia="宋体" w:cs="宋体"/>
                <w:color w:val="auto"/>
                <w:lang w:val="en-US" w:eastAsia="zh-CN"/>
              </w:rPr>
            </w:pPr>
            <w:r>
              <w:rPr>
                <w:rFonts w:hint="eastAsia" w:ascii="宋体" w:hAnsi="宋体" w:cs="宋体"/>
                <w:color w:val="auto"/>
                <w:lang w:val="en-US" w:eastAsia="zh-CN"/>
              </w:rPr>
              <w:t>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jc w:val="center"/>
              <w:rPr>
                <w:rFonts w:hint="eastAsia" w:ascii="宋体" w:hAnsi="宋体" w:cs="宋体"/>
                <w:color w:val="auto"/>
              </w:rPr>
            </w:pPr>
            <w:r>
              <w:rPr>
                <w:rFonts w:hint="eastAsia"/>
                <w:sz w:val="24"/>
              </w:rPr>
              <w:t>★</w:t>
            </w:r>
            <w:r>
              <w:rPr>
                <w:rFonts w:hint="eastAsia" w:ascii="宋体" w:hAnsi="宋体"/>
                <w:bCs/>
                <w:sz w:val="24"/>
              </w:rPr>
              <w:t>1</w:t>
            </w:r>
          </w:p>
        </w:tc>
        <w:tc>
          <w:tcPr>
            <w:tcW w:w="2542" w:type="dxa"/>
            <w:gridSpan w:val="3"/>
            <w:vAlign w:val="center"/>
          </w:tcPr>
          <w:p>
            <w:pPr>
              <w:jc w:val="center"/>
              <w:rPr>
                <w:rFonts w:hint="eastAsia" w:ascii="宋体" w:hAnsi="宋体" w:cs="宋体"/>
                <w:color w:val="auto"/>
              </w:rPr>
            </w:pPr>
            <w:r>
              <w:rPr>
                <w:rFonts w:hint="eastAsia"/>
                <w:sz w:val="24"/>
              </w:rPr>
              <w:t>质保期</w:t>
            </w:r>
          </w:p>
        </w:tc>
        <w:tc>
          <w:tcPr>
            <w:tcW w:w="6539" w:type="dxa"/>
            <w:gridSpan w:val="3"/>
            <w:vAlign w:val="center"/>
          </w:tcPr>
          <w:p>
            <w:pPr>
              <w:jc w:val="left"/>
              <w:rPr>
                <w:rFonts w:hint="eastAsia" w:ascii="宋体" w:hAnsi="宋体" w:cs="宋体"/>
                <w:color w:val="auto"/>
              </w:rPr>
            </w:pPr>
            <w:r>
              <w:rPr>
                <w:rFonts w:hint="eastAsia"/>
                <w:sz w:val="24"/>
              </w:rPr>
              <w:t>整机免费质保3年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jc w:val="center"/>
              <w:rPr>
                <w:rFonts w:hint="eastAsia" w:ascii="宋体" w:hAnsi="宋体" w:cs="宋体"/>
                <w:color w:val="auto"/>
              </w:rPr>
            </w:pPr>
            <w:r>
              <w:rPr>
                <w:rFonts w:hint="eastAsia" w:ascii="宋体" w:hAnsi="宋体"/>
                <w:bCs/>
                <w:sz w:val="24"/>
              </w:rPr>
              <w:t>2</w:t>
            </w:r>
          </w:p>
        </w:tc>
        <w:tc>
          <w:tcPr>
            <w:tcW w:w="2542" w:type="dxa"/>
            <w:gridSpan w:val="3"/>
            <w:vAlign w:val="center"/>
          </w:tcPr>
          <w:p>
            <w:pPr>
              <w:jc w:val="center"/>
              <w:rPr>
                <w:rFonts w:hint="eastAsia" w:ascii="宋体" w:hAnsi="宋体" w:cs="宋体"/>
                <w:color w:val="auto"/>
              </w:rPr>
            </w:pPr>
            <w:r>
              <w:rPr>
                <w:rFonts w:hint="eastAsia"/>
                <w:sz w:val="24"/>
              </w:rPr>
              <w:t>备件库</w:t>
            </w:r>
          </w:p>
        </w:tc>
        <w:tc>
          <w:tcPr>
            <w:tcW w:w="6539" w:type="dxa"/>
            <w:gridSpan w:val="3"/>
            <w:vAlign w:val="center"/>
          </w:tcPr>
          <w:p>
            <w:pPr>
              <w:jc w:val="left"/>
              <w:rPr>
                <w:rFonts w:hint="eastAsia" w:ascii="宋体" w:hAnsi="宋体" w:cs="宋体"/>
                <w:color w:val="auto"/>
              </w:rPr>
            </w:pPr>
            <w:r>
              <w:rPr>
                <w:rFonts w:hint="eastAsia"/>
                <w:sz w:val="24"/>
              </w:rPr>
              <w:t>在国内设有备件库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jc w:val="center"/>
              <w:rPr>
                <w:rFonts w:hint="eastAsia" w:ascii="宋体" w:hAnsi="宋体" w:cs="宋体"/>
                <w:color w:val="auto"/>
              </w:rPr>
            </w:pPr>
            <w:r>
              <w:rPr>
                <w:rFonts w:hint="eastAsia" w:ascii="宋体" w:hAnsi="宋体"/>
                <w:bCs/>
                <w:sz w:val="24"/>
              </w:rPr>
              <w:t>3</w:t>
            </w:r>
          </w:p>
        </w:tc>
        <w:tc>
          <w:tcPr>
            <w:tcW w:w="2542" w:type="dxa"/>
            <w:gridSpan w:val="3"/>
            <w:vAlign w:val="center"/>
          </w:tcPr>
          <w:p>
            <w:pPr>
              <w:jc w:val="center"/>
              <w:rPr>
                <w:rFonts w:hint="eastAsia" w:ascii="宋体" w:hAnsi="宋体" w:cs="宋体"/>
                <w:color w:val="auto"/>
              </w:rPr>
            </w:pPr>
            <w:r>
              <w:rPr>
                <w:rFonts w:hint="eastAsia"/>
                <w:sz w:val="24"/>
              </w:rPr>
              <w:t>维修站</w:t>
            </w:r>
          </w:p>
        </w:tc>
        <w:tc>
          <w:tcPr>
            <w:tcW w:w="6539" w:type="dxa"/>
            <w:gridSpan w:val="3"/>
            <w:vAlign w:val="center"/>
          </w:tcPr>
          <w:p>
            <w:pPr>
              <w:jc w:val="left"/>
              <w:rPr>
                <w:rFonts w:hint="eastAsia" w:ascii="宋体" w:hAnsi="宋体" w:cs="宋体"/>
                <w:color w:val="auto"/>
              </w:rPr>
            </w:pPr>
            <w:r>
              <w:rPr>
                <w:rFonts w:hint="eastAsia"/>
                <w:sz w:val="24"/>
              </w:rPr>
              <w:t>西安设有售后服务维修站，提供服务站地址及联系人联系电话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jc w:val="center"/>
              <w:rPr>
                <w:rFonts w:hint="eastAsia" w:ascii="宋体" w:hAnsi="宋体" w:cs="宋体"/>
                <w:color w:val="auto"/>
              </w:rPr>
            </w:pPr>
            <w:r>
              <w:rPr>
                <w:rFonts w:hint="eastAsia" w:ascii="宋体" w:hAnsi="宋体"/>
                <w:bCs/>
                <w:sz w:val="24"/>
              </w:rPr>
              <w:t>4</w:t>
            </w:r>
          </w:p>
        </w:tc>
        <w:tc>
          <w:tcPr>
            <w:tcW w:w="2542" w:type="dxa"/>
            <w:gridSpan w:val="3"/>
            <w:vAlign w:val="center"/>
          </w:tcPr>
          <w:p>
            <w:pPr>
              <w:jc w:val="center"/>
              <w:rPr>
                <w:rFonts w:hint="eastAsia" w:ascii="宋体" w:hAnsi="宋体" w:cs="宋体"/>
                <w:color w:val="auto"/>
              </w:rPr>
            </w:pPr>
            <w:r>
              <w:rPr>
                <w:rFonts w:hint="eastAsia"/>
                <w:sz w:val="24"/>
              </w:rPr>
              <w:t>收费标准</w:t>
            </w:r>
          </w:p>
        </w:tc>
        <w:tc>
          <w:tcPr>
            <w:tcW w:w="6539" w:type="dxa"/>
            <w:gridSpan w:val="3"/>
            <w:vAlign w:val="center"/>
          </w:tcPr>
          <w:p>
            <w:pPr>
              <w:jc w:val="left"/>
              <w:rPr>
                <w:rFonts w:hint="eastAsia" w:ascii="宋体" w:hAnsi="宋体" w:cs="宋体"/>
                <w:color w:val="auto"/>
              </w:rPr>
            </w:pPr>
            <w:r>
              <w:rPr>
                <w:rFonts w:hint="eastAsia"/>
                <w:sz w:val="24"/>
              </w:rPr>
              <w:t>质保期外免人工费，只收取配件成本费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jc w:val="center"/>
              <w:rPr>
                <w:rFonts w:hint="eastAsia" w:ascii="宋体" w:hAnsi="宋体" w:cs="宋体"/>
                <w:color w:val="auto"/>
              </w:rPr>
            </w:pPr>
            <w:r>
              <w:rPr>
                <w:rFonts w:hint="eastAsia" w:ascii="宋体" w:hAnsi="宋体"/>
                <w:bCs/>
                <w:sz w:val="24"/>
              </w:rPr>
              <w:t>5</w:t>
            </w:r>
          </w:p>
        </w:tc>
        <w:tc>
          <w:tcPr>
            <w:tcW w:w="2542" w:type="dxa"/>
            <w:gridSpan w:val="3"/>
            <w:vAlign w:val="center"/>
          </w:tcPr>
          <w:p>
            <w:pPr>
              <w:jc w:val="center"/>
              <w:rPr>
                <w:rFonts w:hint="eastAsia" w:ascii="宋体" w:hAnsi="宋体" w:cs="宋体"/>
                <w:color w:val="auto"/>
              </w:rPr>
            </w:pPr>
            <w:r>
              <w:rPr>
                <w:rFonts w:hint="eastAsia"/>
                <w:sz w:val="24"/>
              </w:rPr>
              <w:t>培训支持</w:t>
            </w:r>
          </w:p>
        </w:tc>
        <w:tc>
          <w:tcPr>
            <w:tcW w:w="6539" w:type="dxa"/>
            <w:gridSpan w:val="3"/>
            <w:vAlign w:val="center"/>
          </w:tcPr>
          <w:p>
            <w:pPr>
              <w:jc w:val="left"/>
              <w:rPr>
                <w:sz w:val="24"/>
              </w:rPr>
            </w:pPr>
            <w:r>
              <w:rPr>
                <w:rFonts w:hint="eastAsia"/>
                <w:sz w:val="24"/>
              </w:rPr>
              <w:t>（1）设备安装调试后一周内，在买方院内对相关人员进行维护和操作培训，参加人数不计。</w:t>
            </w:r>
          </w:p>
          <w:p>
            <w:pPr>
              <w:jc w:val="left"/>
              <w:rPr>
                <w:sz w:val="24"/>
              </w:rPr>
            </w:pPr>
            <w:r>
              <w:rPr>
                <w:rFonts w:hint="eastAsia"/>
                <w:sz w:val="24"/>
              </w:rPr>
              <w:t>（2）培训内容：设备的性能、技术原理和操作使用方法、维护管理的技术、实际操作练习。使其能对设备进行日常的维护保养及一般故障判断排除方法，并向培训人员提供相应资料。</w:t>
            </w:r>
          </w:p>
          <w:p>
            <w:pPr>
              <w:jc w:val="left"/>
              <w:rPr>
                <w:rFonts w:hint="eastAsia" w:ascii="宋体" w:hAnsi="宋体" w:cs="宋体"/>
                <w:color w:val="auto"/>
              </w:rPr>
            </w:pPr>
            <w:r>
              <w:rPr>
                <w:rFonts w:hint="eastAsia"/>
                <w:sz w:val="24"/>
              </w:rPr>
              <w:t>（3）培训实行包教包会，确认每位被培训的人员已经掌握相关的知识、操作流程和方法。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jc w:val="center"/>
              <w:rPr>
                <w:rFonts w:hint="eastAsia" w:ascii="宋体" w:hAnsi="宋体" w:cs="宋体"/>
                <w:color w:val="auto"/>
              </w:rPr>
            </w:pPr>
            <w:r>
              <w:rPr>
                <w:rFonts w:hint="eastAsia" w:ascii="宋体" w:hAnsi="宋体"/>
                <w:bCs/>
                <w:sz w:val="24"/>
              </w:rPr>
              <w:t>6</w:t>
            </w:r>
          </w:p>
        </w:tc>
        <w:tc>
          <w:tcPr>
            <w:tcW w:w="2542" w:type="dxa"/>
            <w:gridSpan w:val="3"/>
            <w:vAlign w:val="center"/>
          </w:tcPr>
          <w:p>
            <w:pPr>
              <w:jc w:val="center"/>
              <w:rPr>
                <w:rFonts w:hint="eastAsia" w:ascii="宋体" w:hAnsi="宋体" w:cs="宋体"/>
                <w:color w:val="auto"/>
              </w:rPr>
            </w:pPr>
            <w:r>
              <w:rPr>
                <w:rFonts w:hint="eastAsia"/>
                <w:sz w:val="24"/>
              </w:rPr>
              <w:t>维修响应</w:t>
            </w:r>
          </w:p>
        </w:tc>
        <w:tc>
          <w:tcPr>
            <w:tcW w:w="6539" w:type="dxa"/>
            <w:gridSpan w:val="3"/>
            <w:vAlign w:val="center"/>
          </w:tcPr>
          <w:p>
            <w:pPr>
              <w:jc w:val="left"/>
              <w:rPr>
                <w:rFonts w:hint="eastAsia" w:ascii="宋体" w:hAnsi="宋体" w:cs="宋体"/>
                <w:color w:val="auto"/>
              </w:rPr>
            </w:pPr>
            <w:r>
              <w:rPr>
                <w:rFonts w:hint="eastAsia"/>
                <w:sz w:val="24"/>
              </w:rPr>
              <w:t>2小时内响应，24小时到达。每年四次巡检保养维护。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jc w:val="center"/>
              <w:rPr>
                <w:rFonts w:hint="eastAsia" w:ascii="宋体" w:hAnsi="宋体" w:cs="宋体"/>
                <w:color w:val="auto"/>
              </w:rPr>
            </w:pPr>
            <w:r>
              <w:rPr>
                <w:rFonts w:hint="eastAsia" w:ascii="宋体" w:hAnsi="宋体"/>
                <w:bCs/>
                <w:color w:val="000000"/>
                <w:sz w:val="24"/>
              </w:rPr>
              <w:t>7</w:t>
            </w:r>
          </w:p>
        </w:tc>
        <w:tc>
          <w:tcPr>
            <w:tcW w:w="2542" w:type="dxa"/>
            <w:gridSpan w:val="3"/>
            <w:vAlign w:val="center"/>
          </w:tcPr>
          <w:p>
            <w:pPr>
              <w:jc w:val="center"/>
              <w:rPr>
                <w:rFonts w:hint="eastAsia" w:ascii="宋体" w:hAnsi="宋体" w:cs="宋体"/>
                <w:color w:val="auto"/>
              </w:rPr>
            </w:pPr>
            <w:r>
              <w:rPr>
                <w:rFonts w:hint="eastAsia"/>
                <w:color w:val="000000"/>
                <w:sz w:val="24"/>
              </w:rPr>
              <w:t>到货时间</w:t>
            </w:r>
          </w:p>
        </w:tc>
        <w:tc>
          <w:tcPr>
            <w:tcW w:w="6539" w:type="dxa"/>
            <w:gridSpan w:val="3"/>
            <w:vAlign w:val="center"/>
          </w:tcPr>
          <w:p>
            <w:pPr>
              <w:jc w:val="left"/>
              <w:rPr>
                <w:rFonts w:hint="eastAsia" w:ascii="宋体" w:hAnsi="宋体" w:cs="宋体"/>
                <w:color w:val="auto"/>
              </w:rPr>
            </w:pPr>
            <w:r>
              <w:rPr>
                <w:rFonts w:hint="eastAsia"/>
                <w:color w:val="000000"/>
                <w:sz w:val="24"/>
              </w:rPr>
              <w:t>合同签订后，30天内</w:t>
            </w:r>
          </w:p>
        </w:tc>
      </w:tr>
      <w:bookmarkEnd w:id="0"/>
    </w:tbl>
    <w:p>
      <w:pPr>
        <w:widowControl/>
        <w:jc w:val="left"/>
        <w:rPr>
          <w:rFonts w:ascii="宋体" w:hAnsi="宋体"/>
          <w:sz w:val="24"/>
        </w:rPr>
      </w:pPr>
      <w:r>
        <w:rPr>
          <w:rFonts w:hint="eastAsia" w:ascii="宋体" w:hAnsi="宋体"/>
          <w:sz w:val="24"/>
        </w:rPr>
        <w:t>说明：功能要求、配置清单为必备要求，从功能角度提出；技术参数体现设备档次要求，参数中区分“★”、“＃”参数，其中“★”参数为核心参数，为必须满足参数；“＃”参数为重要参数，在采购评审中分值较高。一般技术指标参数不作标记。</w:t>
      </w:r>
    </w:p>
    <w:bookmarkEnd w:id="1"/>
    <w:p>
      <w:pPr>
        <w:widowControl/>
        <w:jc w:val="left"/>
        <w:rPr>
          <w:rFonts w:ascii="宋体" w:hAnsi="宋体" w:cs="黑体"/>
          <w:snapToGrid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幼圆">
    <w:altName w:val="宋体"/>
    <w:panose1 w:val="0201050906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4E2926"/>
    <w:multiLevelType w:val="multilevel"/>
    <w:tmpl w:val="564E292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pStyle w:val="3"/>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I0YmJiMDBkYTFmN2QxNjE2MjZkNzYwNmY2M2FlNzgifQ=="/>
  </w:docVars>
  <w:rsids>
    <w:rsidRoot w:val="19A15E62"/>
    <w:rsid w:val="00046163"/>
    <w:rsid w:val="000545FE"/>
    <w:rsid w:val="00062C9C"/>
    <w:rsid w:val="00094C83"/>
    <w:rsid w:val="000A384B"/>
    <w:rsid w:val="000C3A2F"/>
    <w:rsid w:val="000C6484"/>
    <w:rsid w:val="000E5CA4"/>
    <w:rsid w:val="001042B8"/>
    <w:rsid w:val="00107C49"/>
    <w:rsid w:val="00114AEA"/>
    <w:rsid w:val="0012041F"/>
    <w:rsid w:val="00155B3B"/>
    <w:rsid w:val="001A1628"/>
    <w:rsid w:val="001C3337"/>
    <w:rsid w:val="001F737E"/>
    <w:rsid w:val="00202DB2"/>
    <w:rsid w:val="002047C7"/>
    <w:rsid w:val="00221CC8"/>
    <w:rsid w:val="00230CF8"/>
    <w:rsid w:val="00251BA2"/>
    <w:rsid w:val="00252FE9"/>
    <w:rsid w:val="00266D0C"/>
    <w:rsid w:val="00267F1E"/>
    <w:rsid w:val="00285100"/>
    <w:rsid w:val="00296357"/>
    <w:rsid w:val="002B40AE"/>
    <w:rsid w:val="002C21FA"/>
    <w:rsid w:val="002C4BC4"/>
    <w:rsid w:val="003151D7"/>
    <w:rsid w:val="003250CD"/>
    <w:rsid w:val="00344E7A"/>
    <w:rsid w:val="003526D5"/>
    <w:rsid w:val="00361D23"/>
    <w:rsid w:val="003A3ABE"/>
    <w:rsid w:val="003A77C9"/>
    <w:rsid w:val="003C04BD"/>
    <w:rsid w:val="003C0D17"/>
    <w:rsid w:val="003C1FAC"/>
    <w:rsid w:val="00415F46"/>
    <w:rsid w:val="00434A75"/>
    <w:rsid w:val="004432F1"/>
    <w:rsid w:val="00465054"/>
    <w:rsid w:val="00472BFD"/>
    <w:rsid w:val="00480E1E"/>
    <w:rsid w:val="00486784"/>
    <w:rsid w:val="004A675A"/>
    <w:rsid w:val="004B3E73"/>
    <w:rsid w:val="004B5D66"/>
    <w:rsid w:val="004C37F8"/>
    <w:rsid w:val="004D21DD"/>
    <w:rsid w:val="004E7B7D"/>
    <w:rsid w:val="00502B07"/>
    <w:rsid w:val="0050461A"/>
    <w:rsid w:val="00532C52"/>
    <w:rsid w:val="00540256"/>
    <w:rsid w:val="00576DCF"/>
    <w:rsid w:val="00580FC7"/>
    <w:rsid w:val="00581A2E"/>
    <w:rsid w:val="005C1886"/>
    <w:rsid w:val="00603E75"/>
    <w:rsid w:val="00605788"/>
    <w:rsid w:val="00605842"/>
    <w:rsid w:val="00612084"/>
    <w:rsid w:val="0064153B"/>
    <w:rsid w:val="00644F13"/>
    <w:rsid w:val="006464E9"/>
    <w:rsid w:val="00671C60"/>
    <w:rsid w:val="00682485"/>
    <w:rsid w:val="006C75FB"/>
    <w:rsid w:val="006D71A6"/>
    <w:rsid w:val="00725A54"/>
    <w:rsid w:val="0073745C"/>
    <w:rsid w:val="0074369E"/>
    <w:rsid w:val="007500D7"/>
    <w:rsid w:val="00776C3E"/>
    <w:rsid w:val="00790D63"/>
    <w:rsid w:val="007975BA"/>
    <w:rsid w:val="007C061A"/>
    <w:rsid w:val="007D147D"/>
    <w:rsid w:val="007D37E2"/>
    <w:rsid w:val="007D6AA8"/>
    <w:rsid w:val="007E2DAD"/>
    <w:rsid w:val="007F4F99"/>
    <w:rsid w:val="008025C6"/>
    <w:rsid w:val="00815EDB"/>
    <w:rsid w:val="00826E11"/>
    <w:rsid w:val="0082728A"/>
    <w:rsid w:val="0083233E"/>
    <w:rsid w:val="0083471C"/>
    <w:rsid w:val="008456AC"/>
    <w:rsid w:val="00846B87"/>
    <w:rsid w:val="008564A1"/>
    <w:rsid w:val="00860B28"/>
    <w:rsid w:val="008769A2"/>
    <w:rsid w:val="00891FC3"/>
    <w:rsid w:val="008A4967"/>
    <w:rsid w:val="008A64F5"/>
    <w:rsid w:val="00905E6A"/>
    <w:rsid w:val="00911B92"/>
    <w:rsid w:val="0091323C"/>
    <w:rsid w:val="00934229"/>
    <w:rsid w:val="00943275"/>
    <w:rsid w:val="009506CE"/>
    <w:rsid w:val="009B4794"/>
    <w:rsid w:val="009C5AD1"/>
    <w:rsid w:val="009D4E32"/>
    <w:rsid w:val="009E3452"/>
    <w:rsid w:val="00A011B6"/>
    <w:rsid w:val="00A02CAD"/>
    <w:rsid w:val="00A17223"/>
    <w:rsid w:val="00A25852"/>
    <w:rsid w:val="00A33D6F"/>
    <w:rsid w:val="00A4142E"/>
    <w:rsid w:val="00A579E1"/>
    <w:rsid w:val="00A64A4D"/>
    <w:rsid w:val="00A76416"/>
    <w:rsid w:val="00A95588"/>
    <w:rsid w:val="00A97192"/>
    <w:rsid w:val="00AA6CA3"/>
    <w:rsid w:val="00AC023F"/>
    <w:rsid w:val="00AC2FEC"/>
    <w:rsid w:val="00AC3F59"/>
    <w:rsid w:val="00AD70DA"/>
    <w:rsid w:val="00AD75E3"/>
    <w:rsid w:val="00B05F70"/>
    <w:rsid w:val="00B22D2F"/>
    <w:rsid w:val="00B46DCB"/>
    <w:rsid w:val="00B4737F"/>
    <w:rsid w:val="00B52870"/>
    <w:rsid w:val="00B57386"/>
    <w:rsid w:val="00B7345A"/>
    <w:rsid w:val="00B853D8"/>
    <w:rsid w:val="00B8795D"/>
    <w:rsid w:val="00BA7466"/>
    <w:rsid w:val="00BC19C8"/>
    <w:rsid w:val="00C021A2"/>
    <w:rsid w:val="00C0235F"/>
    <w:rsid w:val="00C20B05"/>
    <w:rsid w:val="00C26053"/>
    <w:rsid w:val="00C451A2"/>
    <w:rsid w:val="00C727AC"/>
    <w:rsid w:val="00C77FA6"/>
    <w:rsid w:val="00C91306"/>
    <w:rsid w:val="00CB4529"/>
    <w:rsid w:val="00CC08FC"/>
    <w:rsid w:val="00CF4071"/>
    <w:rsid w:val="00D25455"/>
    <w:rsid w:val="00D34E39"/>
    <w:rsid w:val="00D3534D"/>
    <w:rsid w:val="00D509BA"/>
    <w:rsid w:val="00D6649E"/>
    <w:rsid w:val="00D769DA"/>
    <w:rsid w:val="00D844E9"/>
    <w:rsid w:val="00DA3A8B"/>
    <w:rsid w:val="00DC5219"/>
    <w:rsid w:val="00E06986"/>
    <w:rsid w:val="00E07EED"/>
    <w:rsid w:val="00E1044C"/>
    <w:rsid w:val="00E33608"/>
    <w:rsid w:val="00E458BB"/>
    <w:rsid w:val="00E46234"/>
    <w:rsid w:val="00E466E8"/>
    <w:rsid w:val="00E80934"/>
    <w:rsid w:val="00E8381C"/>
    <w:rsid w:val="00EB61E8"/>
    <w:rsid w:val="00EE242E"/>
    <w:rsid w:val="00EE2CE1"/>
    <w:rsid w:val="00EE384E"/>
    <w:rsid w:val="00EF45B8"/>
    <w:rsid w:val="00F1160B"/>
    <w:rsid w:val="00F27A73"/>
    <w:rsid w:val="00F35A7B"/>
    <w:rsid w:val="00F705B7"/>
    <w:rsid w:val="00F81502"/>
    <w:rsid w:val="00F870C6"/>
    <w:rsid w:val="00FA1361"/>
    <w:rsid w:val="00FA17E7"/>
    <w:rsid w:val="00FA1DCC"/>
    <w:rsid w:val="00FA7DD0"/>
    <w:rsid w:val="00FD101E"/>
    <w:rsid w:val="00FD63B8"/>
    <w:rsid w:val="0B295232"/>
    <w:rsid w:val="12224162"/>
    <w:rsid w:val="19A15E62"/>
    <w:rsid w:val="2B967919"/>
    <w:rsid w:val="34805709"/>
    <w:rsid w:val="3A3A5A54"/>
    <w:rsid w:val="4F6D4F66"/>
    <w:rsid w:val="54993799"/>
    <w:rsid w:val="5A2E0CF0"/>
    <w:rsid w:val="5A6D50AF"/>
    <w:rsid w:val="5DB5705F"/>
    <w:rsid w:val="76026804"/>
    <w:rsid w:val="77C34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99"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99"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宋体"/>
      <w:kern w:val="2"/>
      <w:sz w:val="21"/>
      <w:szCs w:val="24"/>
      <w:lang w:val="en-US" w:eastAsia="zh-CN" w:bidi="ar-SA"/>
    </w:rPr>
  </w:style>
  <w:style w:type="paragraph" w:styleId="3">
    <w:name w:val="heading 3"/>
    <w:basedOn w:val="1"/>
    <w:next w:val="4"/>
    <w:link w:val="37"/>
    <w:qFormat/>
    <w:uiPriority w:val="0"/>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表格文字"/>
    <w:qFormat/>
    <w:uiPriority w:val="0"/>
    <w:pPr>
      <w:widowControl w:val="0"/>
      <w:spacing w:before="25" w:after="25"/>
      <w:jc w:val="left"/>
    </w:pPr>
    <w:rPr>
      <w:rFonts w:ascii="Times New Roman" w:hAnsi="Times New Roman" w:eastAsia="宋体" w:cs="Times New Roman"/>
      <w:bCs/>
      <w:spacing w:val="10"/>
      <w:kern w:val="0"/>
      <w:sz w:val="24"/>
      <w:szCs w:val="20"/>
      <w:lang w:val="en-US" w:eastAsia="zh-CN" w:bidi="ar-SA"/>
    </w:rPr>
  </w:style>
  <w:style w:type="paragraph" w:styleId="4">
    <w:name w:val="Normal Indent"/>
    <w:basedOn w:val="1"/>
    <w:semiHidden/>
    <w:unhideWhenUsed/>
    <w:qFormat/>
    <w:uiPriority w:val="0"/>
    <w:pPr>
      <w:ind w:firstLine="420" w:firstLineChars="200"/>
    </w:pPr>
  </w:style>
  <w:style w:type="paragraph" w:styleId="5">
    <w:name w:val="Document Map"/>
    <w:basedOn w:val="1"/>
    <w:link w:val="29"/>
    <w:qFormat/>
    <w:uiPriority w:val="0"/>
    <w:rPr>
      <w:rFonts w:ascii="宋体"/>
      <w:sz w:val="18"/>
      <w:szCs w:val="18"/>
    </w:rPr>
  </w:style>
  <w:style w:type="paragraph" w:styleId="6">
    <w:name w:val="annotation text"/>
    <w:basedOn w:val="1"/>
    <w:link w:val="21"/>
    <w:qFormat/>
    <w:uiPriority w:val="0"/>
    <w:pPr>
      <w:jc w:val="left"/>
    </w:pPr>
  </w:style>
  <w:style w:type="paragraph" w:styleId="7">
    <w:name w:val="Body Text"/>
    <w:basedOn w:val="1"/>
    <w:qFormat/>
    <w:uiPriority w:val="0"/>
    <w:rPr>
      <w:sz w:val="21"/>
      <w:lang w:val="zh-CN"/>
    </w:rPr>
  </w:style>
  <w:style w:type="paragraph" w:styleId="8">
    <w:name w:val="Body Text Indent"/>
    <w:basedOn w:val="1"/>
    <w:semiHidden/>
    <w:unhideWhenUsed/>
    <w:qFormat/>
    <w:uiPriority w:val="99"/>
    <w:pPr>
      <w:spacing w:after="120"/>
      <w:ind w:left="420" w:leftChars="200"/>
    </w:pPr>
  </w:style>
  <w:style w:type="paragraph" w:styleId="9">
    <w:name w:val="Plain Text"/>
    <w:basedOn w:val="1"/>
    <w:link w:val="25"/>
    <w:unhideWhenUsed/>
    <w:qFormat/>
    <w:uiPriority w:val="0"/>
    <w:rPr>
      <w:rFonts w:ascii="宋体" w:hAnsi="Courier New" w:eastAsiaTheme="minorEastAsia" w:cstheme="minorBidi"/>
      <w:szCs w:val="20"/>
    </w:rPr>
  </w:style>
  <w:style w:type="paragraph" w:styleId="10">
    <w:name w:val="Balloon Text"/>
    <w:basedOn w:val="1"/>
    <w:link w:val="24"/>
    <w:qFormat/>
    <w:uiPriority w:val="0"/>
    <w:rPr>
      <w:sz w:val="18"/>
      <w:szCs w:val="18"/>
    </w:rPr>
  </w:style>
  <w:style w:type="paragraph" w:styleId="11">
    <w:name w:val="footer"/>
    <w:basedOn w:val="1"/>
    <w:link w:val="20"/>
    <w:qFormat/>
    <w:uiPriority w:val="0"/>
    <w:pPr>
      <w:tabs>
        <w:tab w:val="center" w:pos="4153"/>
        <w:tab w:val="right" w:pos="8306"/>
      </w:tabs>
      <w:snapToGrid w:val="0"/>
      <w:jc w:val="left"/>
    </w:pPr>
    <w:rPr>
      <w:sz w:val="18"/>
      <w:szCs w:val="18"/>
    </w:rPr>
  </w:style>
  <w:style w:type="paragraph" w:styleId="12">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qFormat/>
    <w:uiPriority w:val="0"/>
    <w:pPr>
      <w:widowControl/>
      <w:spacing w:before="100" w:beforeAutospacing="1" w:after="100" w:afterAutospacing="1"/>
      <w:jc w:val="left"/>
    </w:pPr>
    <w:rPr>
      <w:rFonts w:hint="eastAsia" w:ascii="宋体" w:hAnsi="宋体"/>
      <w:kern w:val="0"/>
      <w:sz w:val="24"/>
    </w:rPr>
  </w:style>
  <w:style w:type="paragraph" w:styleId="14">
    <w:name w:val="annotation subject"/>
    <w:basedOn w:val="6"/>
    <w:next w:val="6"/>
    <w:link w:val="22"/>
    <w:qFormat/>
    <w:uiPriority w:val="0"/>
    <w:rPr>
      <w:b/>
      <w:bCs/>
    </w:rPr>
  </w:style>
  <w:style w:type="paragraph" w:styleId="15">
    <w:name w:val="Body Text First Indent 2"/>
    <w:basedOn w:val="8"/>
    <w:semiHidden/>
    <w:unhideWhenUsed/>
    <w:qFormat/>
    <w:uiPriority w:val="99"/>
    <w:pPr>
      <w:ind w:firstLine="420" w:firstLineChars="200"/>
    </w:pPr>
  </w:style>
  <w:style w:type="character" w:styleId="18">
    <w:name w:val="annotation reference"/>
    <w:basedOn w:val="17"/>
    <w:qFormat/>
    <w:uiPriority w:val="0"/>
    <w:rPr>
      <w:sz w:val="21"/>
      <w:szCs w:val="21"/>
    </w:rPr>
  </w:style>
  <w:style w:type="character" w:customStyle="1" w:styleId="19">
    <w:name w:val="页眉 字符"/>
    <w:basedOn w:val="17"/>
    <w:link w:val="12"/>
    <w:qFormat/>
    <w:uiPriority w:val="0"/>
    <w:rPr>
      <w:rFonts w:ascii="Times New Roman" w:hAnsi="Times New Roman" w:eastAsia="宋体" w:cs="宋体"/>
      <w:kern w:val="2"/>
      <w:sz w:val="18"/>
      <w:szCs w:val="18"/>
    </w:rPr>
  </w:style>
  <w:style w:type="character" w:customStyle="1" w:styleId="20">
    <w:name w:val="页脚 字符"/>
    <w:basedOn w:val="17"/>
    <w:link w:val="11"/>
    <w:qFormat/>
    <w:uiPriority w:val="0"/>
    <w:rPr>
      <w:rFonts w:ascii="Times New Roman" w:hAnsi="Times New Roman" w:eastAsia="宋体" w:cs="宋体"/>
      <w:kern w:val="2"/>
      <w:sz w:val="18"/>
      <w:szCs w:val="18"/>
    </w:rPr>
  </w:style>
  <w:style w:type="character" w:customStyle="1" w:styleId="21">
    <w:name w:val="批注文字 字符"/>
    <w:basedOn w:val="17"/>
    <w:link w:val="6"/>
    <w:qFormat/>
    <w:uiPriority w:val="0"/>
    <w:rPr>
      <w:rFonts w:ascii="Times New Roman" w:hAnsi="Times New Roman" w:eastAsia="宋体" w:cs="宋体"/>
      <w:kern w:val="2"/>
      <w:sz w:val="21"/>
      <w:szCs w:val="24"/>
    </w:rPr>
  </w:style>
  <w:style w:type="character" w:customStyle="1" w:styleId="22">
    <w:name w:val="批注主题 字符"/>
    <w:basedOn w:val="21"/>
    <w:link w:val="14"/>
    <w:qFormat/>
    <w:uiPriority w:val="0"/>
    <w:rPr>
      <w:rFonts w:ascii="Times New Roman" w:hAnsi="Times New Roman" w:eastAsia="宋体" w:cs="宋体"/>
      <w:b/>
      <w:bCs/>
      <w:kern w:val="2"/>
      <w:sz w:val="21"/>
      <w:szCs w:val="24"/>
    </w:rPr>
  </w:style>
  <w:style w:type="paragraph" w:customStyle="1" w:styleId="23">
    <w:name w:val="Revision"/>
    <w:hidden/>
    <w:semiHidden/>
    <w:qFormat/>
    <w:uiPriority w:val="99"/>
    <w:rPr>
      <w:rFonts w:ascii="Times New Roman" w:hAnsi="Times New Roman" w:eastAsia="宋体" w:cs="宋体"/>
      <w:kern w:val="2"/>
      <w:sz w:val="21"/>
      <w:szCs w:val="24"/>
      <w:lang w:val="en-US" w:eastAsia="zh-CN" w:bidi="ar-SA"/>
    </w:rPr>
  </w:style>
  <w:style w:type="character" w:customStyle="1" w:styleId="24">
    <w:name w:val="批注框文本 字符"/>
    <w:basedOn w:val="17"/>
    <w:link w:val="10"/>
    <w:qFormat/>
    <w:uiPriority w:val="0"/>
    <w:rPr>
      <w:rFonts w:ascii="Times New Roman" w:hAnsi="Times New Roman" w:eastAsia="宋体" w:cs="宋体"/>
      <w:kern w:val="2"/>
      <w:sz w:val="18"/>
      <w:szCs w:val="18"/>
    </w:rPr>
  </w:style>
  <w:style w:type="character" w:customStyle="1" w:styleId="25">
    <w:name w:val="纯文本 字符1"/>
    <w:link w:val="9"/>
    <w:qFormat/>
    <w:uiPriority w:val="0"/>
    <w:rPr>
      <w:rFonts w:ascii="宋体" w:hAnsi="Courier New"/>
      <w:kern w:val="2"/>
      <w:sz w:val="21"/>
    </w:rPr>
  </w:style>
  <w:style w:type="character" w:customStyle="1" w:styleId="26">
    <w:name w:val="纯文本 字符"/>
    <w:basedOn w:val="17"/>
    <w:qFormat/>
    <w:uiPriority w:val="0"/>
    <w:rPr>
      <w:rFonts w:hAnsi="Courier New" w:cs="Courier New" w:asciiTheme="minorEastAsia"/>
      <w:kern w:val="2"/>
      <w:sz w:val="21"/>
      <w:szCs w:val="24"/>
    </w:rPr>
  </w:style>
  <w:style w:type="paragraph" w:customStyle="1" w:styleId="27">
    <w:name w:val="中等深浅网格 1 - 强调文字颜色 21"/>
    <w:basedOn w:val="1"/>
    <w:qFormat/>
    <w:uiPriority w:val="34"/>
    <w:pPr>
      <w:ind w:firstLine="420" w:firstLineChars="200"/>
    </w:pPr>
    <w:rPr>
      <w:rFonts w:ascii="Calibri" w:hAnsi="Calibri" w:cs="Times New Roman"/>
      <w:szCs w:val="22"/>
    </w:rPr>
  </w:style>
  <w:style w:type="paragraph" w:styleId="28">
    <w:name w:val="List Paragraph"/>
    <w:basedOn w:val="1"/>
    <w:qFormat/>
    <w:uiPriority w:val="34"/>
    <w:pPr>
      <w:ind w:firstLine="420" w:firstLineChars="200"/>
    </w:pPr>
    <w:rPr>
      <w:rFonts w:ascii="Calibri" w:hAnsi="Calibri" w:cs="Times New Roman"/>
      <w:szCs w:val="22"/>
    </w:rPr>
  </w:style>
  <w:style w:type="character" w:customStyle="1" w:styleId="29">
    <w:name w:val="文档结构图 字符"/>
    <w:basedOn w:val="17"/>
    <w:link w:val="5"/>
    <w:qFormat/>
    <w:uiPriority w:val="0"/>
    <w:rPr>
      <w:rFonts w:ascii="宋体" w:hAnsi="Times New Roman" w:eastAsia="宋体" w:cs="宋体"/>
      <w:kern w:val="2"/>
      <w:sz w:val="18"/>
      <w:szCs w:val="18"/>
    </w:rPr>
  </w:style>
  <w:style w:type="character" w:customStyle="1" w:styleId="30">
    <w:name w:val="NormalCharacter"/>
    <w:semiHidden/>
    <w:qFormat/>
    <w:uiPriority w:val="0"/>
  </w:style>
  <w:style w:type="paragraph" w:customStyle="1" w:styleId="31">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宋体" w:cs="Arial Unicode MS"/>
      <w:color w:val="000000"/>
      <w:kern w:val="2"/>
      <w:sz w:val="21"/>
      <w:szCs w:val="21"/>
      <w:lang w:val="en-US" w:eastAsia="zh-CN" w:bidi="ar-SA"/>
    </w:rPr>
  </w:style>
  <w:style w:type="paragraph" w:styleId="3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
    <w:name w:val="_Style 26"/>
    <w:basedOn w:val="1"/>
    <w:next w:val="28"/>
    <w:qFormat/>
    <w:uiPriority w:val="34"/>
    <w:pPr>
      <w:ind w:firstLine="420" w:firstLineChars="200"/>
    </w:pPr>
    <w:rPr>
      <w:rFonts w:cs="Times New Roman"/>
    </w:rPr>
  </w:style>
  <w:style w:type="character" w:customStyle="1" w:styleId="34">
    <w:name w:val="font31"/>
    <w:qFormat/>
    <w:uiPriority w:val="0"/>
    <w:rPr>
      <w:rFonts w:hint="eastAsia" w:ascii="宋体" w:hAnsi="宋体" w:eastAsia="宋体" w:cs="宋体"/>
      <w:color w:val="000000"/>
      <w:sz w:val="24"/>
      <w:szCs w:val="24"/>
      <w:u w:val="none"/>
    </w:rPr>
  </w:style>
  <w:style w:type="character" w:customStyle="1" w:styleId="35">
    <w:name w:val="font11"/>
    <w:qFormat/>
    <w:uiPriority w:val="0"/>
    <w:rPr>
      <w:rFonts w:hint="default" w:ascii="Times New Roman" w:hAnsi="Times New Roman" w:cs="Times New Roman"/>
      <w:color w:val="000000"/>
      <w:sz w:val="24"/>
      <w:szCs w:val="24"/>
      <w:u w:val="none"/>
    </w:rPr>
  </w:style>
  <w:style w:type="character" w:customStyle="1" w:styleId="36">
    <w:name w:val="标题 3 字符"/>
    <w:basedOn w:val="17"/>
    <w:semiHidden/>
    <w:qFormat/>
    <w:uiPriority w:val="0"/>
    <w:rPr>
      <w:rFonts w:ascii="Times New Roman" w:hAnsi="Times New Roman" w:eastAsia="宋体" w:cs="宋体"/>
      <w:b/>
      <w:bCs/>
      <w:kern w:val="2"/>
      <w:sz w:val="32"/>
      <w:szCs w:val="32"/>
    </w:rPr>
  </w:style>
  <w:style w:type="character" w:customStyle="1" w:styleId="37">
    <w:name w:val="标题 3 字符1"/>
    <w:link w:val="3"/>
    <w:qFormat/>
    <w:uiPriority w:val="0"/>
    <w:rPr>
      <w:rFonts w:ascii="Calibri" w:hAnsi="Calibri" w:eastAsia="宋体" w:cs="Times New Roman"/>
      <w:b/>
      <w:bCs/>
      <w:kern w:val="2"/>
      <w:sz w:val="28"/>
      <w:szCs w:val="32"/>
    </w:rPr>
  </w:style>
  <w:style w:type="paragraph" w:customStyle="1" w:styleId="38">
    <w:name w:val="列出段落1"/>
    <w:basedOn w:val="1"/>
    <w:qFormat/>
    <w:uiPriority w:val="34"/>
    <w:pPr>
      <w:ind w:firstLine="420" w:firstLineChars="200"/>
    </w:pPr>
    <w:rPr>
      <w:rFonts w:ascii="Calibri" w:hAnsi="Calibri" w:cs="Times New Roman"/>
    </w:rPr>
  </w:style>
  <w:style w:type="character" w:customStyle="1" w:styleId="39">
    <w:name w:val="font61"/>
    <w:basedOn w:val="17"/>
    <w:qFormat/>
    <w:uiPriority w:val="0"/>
    <w:rPr>
      <w:rFonts w:hint="default" w:ascii="幼圆" w:hAnsi="幼圆" w:eastAsia="幼圆" w:cs="幼圆"/>
      <w:color w:val="000000"/>
      <w:sz w:val="20"/>
      <w:szCs w:val="20"/>
      <w:u w:val="none"/>
    </w:rPr>
  </w:style>
  <w:style w:type="table" w:customStyle="1" w:styleId="40">
    <w:name w:val="网格型2"/>
    <w:basedOn w:val="16"/>
    <w:qFormat/>
    <w:uiPriority w:val="59"/>
    <w:rPr>
      <w:rFonts w:ascii="Times New Roman" w:hAnsi="Times New Roman" w:eastAsia="方正小标宋简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2B1F-772B-4C33-9B26-FBE03CCCECF2}">
  <ds:schemaRefs/>
</ds:datastoreItem>
</file>

<file path=docProps/app.xml><?xml version="1.0" encoding="utf-8"?>
<Properties xmlns="http://schemas.openxmlformats.org/officeDocument/2006/extended-properties" xmlns:vt="http://schemas.openxmlformats.org/officeDocument/2006/docPropsVTypes">
  <Template>Normal</Template>
  <Pages>3</Pages>
  <Words>1101</Words>
  <Characters>1369</Characters>
  <Lines>14</Lines>
  <Paragraphs>4</Paragraphs>
  <TotalTime>0</TotalTime>
  <ScaleCrop>false</ScaleCrop>
  <LinksUpToDate>false</LinksUpToDate>
  <CharactersWithSpaces>1384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2019-11-08T04:25:00Z</dcterms:created>
  <dc:creator>ghost</dc:creator>
  <cp:lastModifiedBy>高吉祥</cp:lastModifiedBy>
  <cp:lastPrinted>2023-02-06T02:59:00Z</cp:lastPrinted>
  <dcterms:modified xsi:type="dcterms:W3CDTF">2023-05-24T02:29:23Z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A9967F2B76474F9BBA20C4E9C2D027BA</vt:lpwstr>
  </property>
</Properties>
</file>