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方正小标宋简体"/>
          <w:bCs/>
          <w:color w:val="000000" w:themeColor="text1"/>
          <w:sz w:val="36"/>
          <w:szCs w:val="36"/>
          <w:highlight w:val="none"/>
          <w14:textFill>
            <w14:solidFill>
              <w14:schemeClr w14:val="tx1"/>
            </w14:solidFill>
          </w14:textFill>
        </w:rPr>
      </w:pPr>
      <w:bookmarkStart w:id="0" w:name="_Toc83738979"/>
      <w:r>
        <w:rPr>
          <w:rFonts w:hint="eastAsia" w:eastAsia="方正小标宋简体"/>
          <w:bCs/>
          <w:color w:val="000000" w:themeColor="text1"/>
          <w:sz w:val="36"/>
          <w:szCs w:val="36"/>
          <w:highlight w:val="none"/>
          <w14:textFill>
            <w14:solidFill>
              <w14:schemeClr w14:val="tx1"/>
            </w14:solidFill>
          </w14:textFill>
        </w:rPr>
        <w:t>设备采购合同书（进口）</w:t>
      </w:r>
      <w:bookmarkEnd w:id="0"/>
    </w:p>
    <w:p>
      <w:pPr>
        <w:spacing w:line="520" w:lineRule="exact"/>
        <w:rPr>
          <w:rFonts w:ascii="黑体" w:eastAsia="黑体"/>
          <w:color w:val="000000" w:themeColor="text1"/>
          <w:highlight w:val="none"/>
          <w14:textFill>
            <w14:solidFill>
              <w14:schemeClr w14:val="tx1"/>
            </w14:solidFill>
          </w14:textFill>
        </w:rPr>
      </w:pPr>
    </w:p>
    <w:p>
      <w:pPr>
        <w:spacing w:line="520" w:lineRule="exact"/>
        <w:rPr>
          <w:rFonts w:ascii="仿宋_GB2312" w:eastAsia="仿宋_GB2312"/>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合同编号：</w:t>
      </w:r>
      <w:r>
        <w:rPr>
          <w:rFonts w:hint="eastAsia" w:ascii="黑体" w:eastAsia="黑体"/>
          <w:color w:val="000000" w:themeColor="text1"/>
          <w:highlight w:val="none"/>
          <w:u w:val="single"/>
          <w14:textFill>
            <w14:solidFill>
              <w14:schemeClr w14:val="tx1"/>
            </w14:solidFill>
          </w14:textFill>
        </w:rPr>
        <w:t xml:space="preserve">              </w:t>
      </w:r>
    </w:p>
    <w:p>
      <w:pPr>
        <w:spacing w:line="520" w:lineRule="exact"/>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项目名称：</w:t>
      </w:r>
      <w:r>
        <w:rPr>
          <w:rFonts w:hint="eastAsia" w:ascii="黑体" w:eastAsia="黑体"/>
          <w:color w:val="000000" w:themeColor="text1"/>
          <w:highlight w:val="none"/>
          <w:u w:val="single"/>
          <w14:textFill>
            <w14:solidFill>
              <w14:schemeClr w14:val="tx1"/>
            </w14:solidFill>
          </w14:textFill>
        </w:rPr>
        <w:t xml:space="preserve">              </w:t>
      </w:r>
      <w:r>
        <w:rPr>
          <w:color w:val="000000" w:themeColor="text1"/>
          <w:highlight w:val="non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签订日期：</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年</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u w:val="single"/>
          <w:lang w:val="en-US" w:eastAsia="zh-CN"/>
          <w14:textFill>
            <w14:solidFill>
              <w14:schemeClr w14:val="tx1"/>
            </w14:solidFill>
          </w14:textFill>
        </w:rPr>
        <w:t xml:space="preserve"> </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月</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u w:val="single"/>
          <w:lang w:val="en-US" w:eastAsia="zh-CN"/>
          <w14:textFill>
            <w14:solidFill>
              <w14:schemeClr w14:val="tx1"/>
            </w14:solidFill>
          </w14:textFill>
        </w:rPr>
        <w:t xml:space="preserve"> </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日</w:t>
      </w:r>
      <w:bookmarkStart w:id="12" w:name="_GoBack"/>
      <w:bookmarkEnd w:id="12"/>
    </w:p>
    <w:p>
      <w:pPr>
        <w:spacing w:line="520" w:lineRule="exact"/>
        <w:rPr>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项目编号：</w:t>
      </w:r>
      <w:r>
        <w:rPr>
          <w:rFonts w:hint="eastAsia"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 xml:space="preserve">              签订地点：</w:t>
      </w:r>
      <w:r>
        <w:rPr>
          <w:rFonts w:hint="eastAsia" w:ascii="黑体" w:eastAsia="黑体"/>
          <w:color w:val="000000" w:themeColor="text1"/>
          <w:highlight w:val="none"/>
          <w:u w:val="single"/>
          <w14:textFill>
            <w14:solidFill>
              <w14:schemeClr w14:val="tx1"/>
            </w14:solidFill>
          </w14:textFill>
        </w:rPr>
        <w:t xml:space="preserve">              </w:t>
      </w:r>
    </w:p>
    <w:tbl>
      <w:tblPr>
        <w:tblStyle w:val="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155"/>
        <w:gridCol w:w="5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采购</w:t>
            </w:r>
          </w:p>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w:t>
            </w:r>
          </w:p>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（甲方）</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w:t>
            </w:r>
            <w:r>
              <w:rPr>
                <w:rFonts w:hint="eastAsia" w:ascii="宋体" w:hAnsi="宋体" w:cs="宋体"/>
                <w:color w:val="000000" w:themeColor="text1"/>
                <w:highlight w:val="none"/>
                <w:lang w:eastAsia="zh-CN"/>
                <w14:textFill>
                  <w14:solidFill>
                    <w14:schemeClr w14:val="tx1"/>
                  </w14:solidFill>
                </w14:textFill>
              </w:rPr>
              <w:t>（</w:t>
            </w:r>
            <w:r>
              <w:rPr>
                <w:rFonts w:hint="eastAsia" w:ascii="宋体" w:hAnsi="宋体" w:cs="宋体"/>
                <w:color w:val="000000" w:themeColor="text1"/>
                <w:highlight w:val="none"/>
                <w:lang w:val="en-US" w:eastAsia="zh-CN"/>
                <w14:textFill>
                  <w14:solidFill>
                    <w14:schemeClr w14:val="tx1"/>
                  </w14:solidFill>
                </w14:textFill>
              </w:rPr>
              <w:t>盖章</w:t>
            </w:r>
            <w:r>
              <w:rPr>
                <w:rFonts w:hint="eastAsia" w:ascii="宋体" w:hAnsi="宋体" w:cs="宋体"/>
                <w:color w:val="000000" w:themeColor="text1"/>
                <w:highlight w:val="none"/>
                <w:lang w:eastAsia="zh-CN"/>
                <w14:textFill>
                  <w14:solidFill>
                    <w14:schemeClr w14:val="tx1"/>
                  </w14:solidFill>
                </w14:textFill>
              </w:rPr>
              <w:t>）</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承办（联系）人</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电话/传真</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单位地址/邮编</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账户名称</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    号</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开户银行</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restart"/>
            <w:tcBorders>
              <w:top w:val="single" w:color="auto" w:sz="4" w:space="0"/>
              <w:left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供应方</w:t>
            </w:r>
          </w:p>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（乙方）</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单位名称（盖章）</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签字</w:t>
            </w:r>
            <w:r>
              <w:rPr>
                <w:rFonts w:hint="eastAsia"/>
                <w:color w:val="000000" w:themeColor="text1"/>
                <w:highlight w:val="none"/>
                <w:lang w:eastAsia="zh-CN"/>
                <w14:textFill>
                  <w14:solidFill>
                    <w14:schemeClr w14:val="tx1"/>
                  </w14:solidFill>
                </w14:textFill>
              </w:rPr>
              <w:t>）</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委托代理人</w:t>
            </w:r>
            <w:r>
              <w:rPr>
                <w:rFonts w:hint="eastAsia"/>
                <w:color w:val="000000" w:themeColor="text1"/>
                <w:highlight w:val="none"/>
                <w:lang w:eastAsia="zh-CN"/>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签字</w:t>
            </w:r>
            <w:r>
              <w:rPr>
                <w:rFonts w:hint="eastAsia"/>
                <w:color w:val="000000" w:themeColor="text1"/>
                <w:highlight w:val="none"/>
                <w:lang w:eastAsia="zh-CN"/>
                <w14:textFill>
                  <w14:solidFill>
                    <w14:schemeClr w14:val="tx1"/>
                  </w14:solidFill>
                </w14:textFill>
              </w:rPr>
              <w:t>）</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电话/传真</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单位地址/邮编</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账户名称</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账    号</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134"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color w:val="000000" w:themeColor="text1"/>
                <w:highlight w:val="none"/>
                <w14:textFill>
                  <w14:solidFill>
                    <w14:schemeClr w14:val="tx1"/>
                  </w14:solidFill>
                </w14:textFill>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开户银行</w:t>
            </w:r>
          </w:p>
        </w:tc>
        <w:tc>
          <w:tcPr>
            <w:tcW w:w="5925"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color w:val="000000" w:themeColor="text1"/>
                <w:highlight w:val="none"/>
                <w14:textFill>
                  <w14:solidFill>
                    <w14:schemeClr w14:val="tx1"/>
                  </w14:solidFill>
                </w14:textFill>
              </w:rPr>
            </w:pPr>
          </w:p>
        </w:tc>
      </w:tr>
    </w:tbl>
    <w:p>
      <w:pPr>
        <w:spacing w:line="520" w:lineRule="exact"/>
        <w:ind w:firstLine="470" w:firstLineChars="196"/>
        <w:rPr>
          <w:rFonts w:eastAsia="仿宋_GB2312"/>
          <w:color w:val="000000" w:themeColor="text1"/>
          <w:kern w:val="2"/>
          <w:highlight w:val="none"/>
          <w14:textFill>
            <w14:solidFill>
              <w14:schemeClr w14:val="tx1"/>
            </w14:solidFill>
          </w14:textFill>
        </w:rPr>
      </w:pPr>
      <w:r>
        <w:rPr>
          <w:rFonts w:hint="eastAsia"/>
          <w:color w:val="000000" w:themeColor="text1"/>
          <w:highlight w:val="none"/>
          <w14:textFill>
            <w14:solidFill>
              <w14:schemeClr w14:val="tx1"/>
            </w14:solidFill>
          </w14:textFill>
        </w:rPr>
        <w:t>经甲乙双方协商一致，订立本合同。</w:t>
      </w:r>
    </w:p>
    <w:p>
      <w:pPr>
        <w:widowControl/>
        <w:jc w:val="left"/>
        <w:rPr>
          <w:rFonts w:ascii="黑体" w:hAnsi="宋体" w:eastAsia="黑体"/>
          <w:color w:val="000000" w:themeColor="text1"/>
          <w:sz w:val="28"/>
          <w:szCs w:val="28"/>
          <w:highlight w:val="none"/>
          <w14:textFill>
            <w14:solidFill>
              <w14:schemeClr w14:val="tx1"/>
            </w14:solidFill>
          </w14:textFill>
        </w:rPr>
      </w:pPr>
      <w:r>
        <w:rPr>
          <w:rFonts w:ascii="黑体" w:hAnsi="宋体" w:eastAsia="黑体"/>
          <w:color w:val="000000" w:themeColor="text1"/>
          <w:sz w:val="28"/>
          <w:szCs w:val="28"/>
          <w:highlight w:val="none"/>
          <w14:textFill>
            <w14:solidFill>
              <w14:schemeClr w14:val="tx1"/>
            </w14:solidFill>
          </w14:textFill>
        </w:rPr>
        <w:br w:type="page"/>
      </w:r>
    </w:p>
    <w:p>
      <w:pPr>
        <w:numPr>
          <w:ilvl w:val="0"/>
          <w:numId w:val="0"/>
        </w:numPr>
        <w:spacing w:line="520" w:lineRule="exact"/>
        <w:ind w:left="0" w:firstLine="0"/>
        <w:jc w:val="left"/>
        <w:rPr>
          <w:rFonts w:ascii="黑体" w:hAnsi="宋体" w:eastAsia="黑体"/>
          <w:color w:val="000000" w:themeColor="text1"/>
          <w:sz w:val="28"/>
          <w:szCs w:val="28"/>
          <w:highlight w:val="none"/>
          <w14:textFill>
            <w14:solidFill>
              <w14:schemeClr w14:val="tx1"/>
            </w14:solidFill>
          </w14:textFill>
        </w:rPr>
      </w:pPr>
      <w:r>
        <w:rPr>
          <w:rFonts w:hint="eastAsia" w:ascii="黑体" w:hAnsi="宋体" w:eastAsia="黑体"/>
          <w:color w:val="000000" w:themeColor="text1"/>
          <w:sz w:val="28"/>
          <w:szCs w:val="28"/>
          <w:highlight w:val="none"/>
          <w:lang w:val="en-US" w:eastAsia="zh-CN"/>
          <w14:textFill>
            <w14:solidFill>
              <w14:schemeClr w14:val="tx1"/>
            </w14:solidFill>
          </w14:textFill>
        </w:rPr>
        <w:t>一、</w:t>
      </w:r>
      <w:r>
        <w:rPr>
          <w:rFonts w:hint="eastAsia" w:ascii="黑体" w:hAnsi="宋体" w:eastAsia="黑体"/>
          <w:color w:val="000000" w:themeColor="text1"/>
          <w:sz w:val="28"/>
          <w:szCs w:val="28"/>
          <w:highlight w:val="none"/>
          <w14:textFill>
            <w14:solidFill>
              <w14:schemeClr w14:val="tx1"/>
            </w14:solidFill>
          </w14:textFill>
        </w:rPr>
        <w:t>货物内容</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253"/>
        <w:gridCol w:w="646"/>
        <w:gridCol w:w="921"/>
        <w:gridCol w:w="1125"/>
        <w:gridCol w:w="780"/>
        <w:gridCol w:w="840"/>
        <w:gridCol w:w="990"/>
        <w:gridCol w:w="960"/>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序号</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物资名称</w:t>
            </w: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品牌</w:t>
            </w: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规格</w:t>
            </w:r>
          </w:p>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型号</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编目码</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计量</w:t>
            </w:r>
          </w:p>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单位</w:t>
            </w: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数量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单价（元）</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总价（元）</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56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92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olor w:val="000000" w:themeColor="text1"/>
                <w:kern w:val="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olor w:val="000000" w:themeColor="text1"/>
                <w:kern w:val="2"/>
                <w:highlight w:val="none"/>
                <w14:textFill>
                  <w14:solidFill>
                    <w14:schemeClr w14:val="tx1"/>
                  </w14:solidFill>
                </w14:textFill>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left"/>
              <w:rPr>
                <w:rFonts w:ascii="宋体" w:hAnsi="宋体"/>
                <w:color w:val="000000" w:themeColor="text1"/>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121" w:type="dxa"/>
            <w:gridSpan w:val="8"/>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合</w:t>
            </w:r>
            <w:r>
              <w:rPr>
                <w:rFonts w:ascii="宋体" w:hAnsi="宋体"/>
                <w:bCs/>
                <w:color w:val="000000" w:themeColor="text1"/>
                <w:spacing w:val="-4"/>
                <w:highlight w:val="none"/>
                <w14:textFill>
                  <w14:solidFill>
                    <w14:schemeClr w14:val="tx1"/>
                  </w14:solidFill>
                </w14:textFill>
              </w:rPr>
              <w:t xml:space="preserve">  </w:t>
            </w:r>
            <w:r>
              <w:rPr>
                <w:rFonts w:hint="eastAsia" w:ascii="宋体" w:hAnsi="宋体"/>
                <w:bCs/>
                <w:color w:val="000000" w:themeColor="text1"/>
                <w:spacing w:val="-4"/>
                <w:highlight w:val="none"/>
                <w14:textFill>
                  <w14:solidFill>
                    <w14:schemeClr w14:val="tx1"/>
                  </w14:solidFill>
                </w14:textFill>
              </w:rPr>
              <w:t>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color w:val="000000" w:themeColor="text1"/>
                <w:spacing w:val="-12"/>
                <w:highlight w:val="none"/>
                <w14:textFill>
                  <w14:solidFill>
                    <w14:schemeClr w14:val="tx1"/>
                  </w14:solidFill>
                </w14:textFill>
              </w:rPr>
            </w:pPr>
          </w:p>
          <w:p>
            <w:pPr>
              <w:spacing w:line="520" w:lineRule="exact"/>
              <w:jc w:val="center"/>
              <w:rPr>
                <w:rFonts w:ascii="宋体" w:hAnsi="宋体"/>
                <w:color w:val="000000" w:themeColor="text1"/>
                <w:spacing w:val="-12"/>
                <w:kern w:val="2"/>
                <w:highlight w:val="none"/>
                <w14:textFill>
                  <w14:solidFill>
                    <w14:schemeClr w14:val="tx1"/>
                  </w14:solidFill>
                </w14:textFill>
              </w:rPr>
            </w:pPr>
          </w:p>
        </w:tc>
        <w:tc>
          <w:tcPr>
            <w:tcW w:w="1141"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ascii="宋体" w:hAnsi="宋体"/>
                <w:bCs/>
                <w:color w:val="000000" w:themeColor="text1"/>
                <w:spacing w:val="-4"/>
                <w:kern w:val="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22" w:type="dxa"/>
            <w:gridSpan w:val="10"/>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696" w:firstLineChars="300"/>
              <w:rPr>
                <w:rFonts w:ascii="宋体" w:hAnsi="宋体"/>
                <w:bCs/>
                <w:color w:val="000000" w:themeColor="text1"/>
                <w:spacing w:val="-4"/>
                <w:kern w:val="2"/>
                <w:highlight w:val="none"/>
                <w14:textFill>
                  <w14:solidFill>
                    <w14:schemeClr w14:val="tx1"/>
                  </w14:solidFill>
                </w14:textFill>
              </w:rPr>
            </w:pPr>
            <w:r>
              <w:rPr>
                <w:rFonts w:hint="eastAsia" w:ascii="宋体" w:hAnsi="宋体"/>
                <w:bCs/>
                <w:color w:val="000000" w:themeColor="text1"/>
                <w:spacing w:val="-4"/>
                <w:highlight w:val="none"/>
                <w14:textFill>
                  <w14:solidFill>
                    <w14:schemeClr w14:val="tx1"/>
                  </w14:solidFill>
                </w14:textFill>
              </w:rPr>
              <w:t>金额合计（人民币大写）：</w:t>
            </w:r>
            <w:r>
              <w:rPr>
                <w:rFonts w:hint="eastAsia" w:ascii="黑体" w:eastAsia="黑体"/>
                <w:color w:val="000000" w:themeColor="text1"/>
                <w:highlight w:val="none"/>
                <w:u w:val="single"/>
                <w14:textFill>
                  <w14:solidFill>
                    <w14:schemeClr w14:val="tx1"/>
                  </w14:solidFill>
                </w14:textFill>
              </w:rPr>
              <w:t xml:space="preserve">   </w:t>
            </w:r>
            <w:r>
              <w:rPr>
                <w:rFonts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u w:val="single"/>
                <w14:textFill>
                  <w14:solidFill>
                    <w14:schemeClr w14:val="tx1"/>
                  </w14:solidFill>
                </w14:textFill>
              </w:rPr>
              <w:t xml:space="preserve">   </w:t>
            </w:r>
            <w:r>
              <w:rPr>
                <w:rFonts w:hint="eastAsia" w:ascii="宋体" w:hAnsi="宋体"/>
                <w:bCs/>
                <w:color w:val="000000" w:themeColor="text1"/>
                <w:spacing w:val="-4"/>
                <w:highlight w:val="none"/>
                <w14:textFill>
                  <w14:solidFill>
                    <w14:schemeClr w14:val="tx1"/>
                  </w14:solidFill>
                </w14:textFill>
              </w:rPr>
              <w:t>元</w:t>
            </w:r>
            <w:r>
              <w:rPr>
                <w:rFonts w:ascii="宋体" w:hAnsi="宋体"/>
                <w:bCs/>
                <w:color w:val="000000" w:themeColor="text1"/>
                <w:highlight w:val="none"/>
                <w14:textFill>
                  <w14:solidFill>
                    <w14:schemeClr w14:val="tx1"/>
                  </w14:solidFill>
                </w14:textFill>
              </w:rPr>
              <w:t xml:space="preserve">       </w:t>
            </w:r>
            <w:r>
              <w:rPr>
                <w:rFonts w:hint="eastAsia" w:ascii="宋体" w:hAnsi="宋体"/>
                <w:bCs/>
                <w:color w:val="000000" w:themeColor="text1"/>
                <w:highlight w:val="none"/>
                <w14:textFill>
                  <w14:solidFill>
                    <w14:schemeClr w14:val="tx1"/>
                  </w14:solidFill>
                </w14:textFill>
              </w:rPr>
              <w:t>（小写）：</w:t>
            </w:r>
            <w:r>
              <w:rPr>
                <w:rFonts w:ascii="宋体" w:hAnsi="宋体"/>
                <w:bCs/>
                <w:color w:val="000000" w:themeColor="text1"/>
                <w:highlight w:val="none"/>
                <w14:textFill>
                  <w14:solidFill>
                    <w14:schemeClr w14:val="tx1"/>
                  </w14:solidFill>
                </w14:textFill>
              </w:rPr>
              <w:t>¥</w:t>
            </w:r>
            <w:r>
              <w:rPr>
                <w:rFonts w:hint="eastAsia" w:ascii="黑体" w:eastAsia="黑体"/>
                <w:color w:val="000000" w:themeColor="text1"/>
                <w:highlight w:val="none"/>
                <w:u w:val="single"/>
                <w14:textFill>
                  <w14:solidFill>
                    <w14:schemeClr w14:val="tx1"/>
                  </w14:solidFill>
                </w14:textFill>
              </w:rPr>
              <w:t xml:space="preserve">     </w:t>
            </w:r>
            <w:r>
              <w:rPr>
                <w:rFonts w:ascii="黑体" w:eastAsia="黑体"/>
                <w:color w:val="000000" w:themeColor="text1"/>
                <w:highlight w:val="none"/>
                <w:u w:val="single"/>
                <w14:textFill>
                  <w14:solidFill>
                    <w14:schemeClr w14:val="tx1"/>
                  </w14:solidFill>
                </w14:textFill>
              </w:rPr>
              <w:t xml:space="preserve">      </w:t>
            </w:r>
            <w:r>
              <w:rPr>
                <w:rFonts w:hint="eastAsia" w:ascii="黑体" w:eastAsia="黑体"/>
                <w:color w:val="000000" w:themeColor="text1"/>
                <w:highlight w:val="none"/>
                <w:u w:val="single"/>
                <w14:textFill>
                  <w14:solidFill>
                    <w14:schemeClr w14:val="tx1"/>
                  </w14:solidFill>
                </w14:textFill>
              </w:rPr>
              <w:t xml:space="preserve">  </w:t>
            </w:r>
          </w:p>
        </w:tc>
      </w:tr>
    </w:tbl>
    <w:p>
      <w:pPr>
        <w:spacing w:line="240" w:lineRule="auto"/>
        <w:ind w:firstLine="0" w:firstLineChars="0"/>
        <w:rPr>
          <w:rFonts w:hint="eastAsia" w:ascii="黑体" w:eastAsia="黑体"/>
          <w:color w:val="000000" w:themeColor="text1"/>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br w:type="page"/>
      </w:r>
    </w:p>
    <w:p>
      <w:pPr>
        <w:spacing w:line="520" w:lineRule="exact"/>
        <w:ind w:firstLine="0" w:firstLineChars="0"/>
        <w:rPr>
          <w:rFonts w:ascii="黑体" w:eastAsia="黑体"/>
          <w:color w:val="000000" w:themeColor="text1"/>
          <w:kern w:val="2"/>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t>二、质量要求及技术标准</w:t>
      </w:r>
    </w:p>
    <w:p>
      <w:pPr>
        <w:spacing w:line="520" w:lineRule="exact"/>
        <w:rPr>
          <w:rFonts w:eastAsia="仿宋_GB2312"/>
          <w:color w:val="000000" w:themeColor="text1"/>
          <w:sz w:val="28"/>
          <w:szCs w:val="28"/>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（一）乙方所供的货物必须是全新的，符合国军标的工艺材料制造，符合投标报价文件的承诺，符合合同规定的规格、技术指标及外观质量要求。</w:t>
      </w:r>
    </w:p>
    <w:p>
      <w:pPr>
        <w:spacing w:line="520" w:lineRule="exact"/>
        <w:rPr>
          <w:color w:val="000000" w:themeColor="text1"/>
          <w:sz w:val="28"/>
          <w:szCs w:val="28"/>
          <w:highlight w:val="none"/>
          <w:u w:val="singl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（二）质量或规格与合同不符，或证实货物有缺陷的，包括潜在的缺陷，甲方应在</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日内以书面形式通知乙方：</w:t>
      </w:r>
    </w:p>
    <w:p>
      <w:pPr>
        <w:spacing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乙方在收到通知后</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日内应免费更换有缺陷的货物。</w:t>
      </w:r>
    </w:p>
    <w:p>
      <w:pPr>
        <w:spacing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2.</w:t>
      </w:r>
      <w:r>
        <w:rPr>
          <w:rFonts w:hint="eastAsia"/>
          <w:color w:val="000000" w:themeColor="text1"/>
          <w:sz w:val="28"/>
          <w:szCs w:val="28"/>
          <w:highlight w:val="none"/>
          <w14:textFill>
            <w14:solidFill>
              <w14:schemeClr w14:val="tx1"/>
            </w14:solidFill>
          </w14:textFill>
        </w:rPr>
        <w:t>如果乙方在收到通知后</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日内没有弥补缺陷，甲方可采取必要的补救措施，但风险和费用将由乙方承担。</w:t>
      </w:r>
    </w:p>
    <w:p>
      <w:pPr>
        <w:spacing w:line="520" w:lineRule="exact"/>
        <w:rPr>
          <w:rFonts w:ascii="黑体" w:eastAsia="黑体"/>
          <w:color w:val="000000" w:themeColor="text1"/>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t>三、包装及技术资料</w:t>
      </w:r>
    </w:p>
    <w:p>
      <w:pPr>
        <w:spacing w:line="520" w:lineRule="exact"/>
        <w:ind w:firstLine="540"/>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（一）乙方提供的货物要采用国家或行业规定的标准进行包装，每件包装箱内附一份详细装箱清单</w:t>
      </w:r>
      <w:r>
        <w:rPr>
          <w:rFonts w:hint="eastAsia"/>
          <w:color w:val="000000" w:themeColor="text1"/>
          <w:sz w:val="28"/>
          <w:szCs w:val="28"/>
          <w:highlight w:val="none"/>
          <w:lang w:val="en-US" w:eastAsia="zh-CN"/>
          <w14:textFill>
            <w14:solidFill>
              <w14:schemeClr w14:val="tx1"/>
            </w14:solidFill>
          </w14:textFill>
        </w:rPr>
        <w:t>和质量检验合格证</w:t>
      </w:r>
      <w:r>
        <w:rPr>
          <w:rFonts w:hint="eastAsia"/>
          <w:color w:val="000000" w:themeColor="text1"/>
          <w:sz w:val="28"/>
          <w:szCs w:val="28"/>
          <w:highlight w:val="none"/>
          <w14:textFill>
            <w14:solidFill>
              <w14:schemeClr w14:val="tx1"/>
            </w14:solidFill>
          </w14:textFill>
        </w:rPr>
        <w:t>，包装物由乙方免费提供。</w:t>
      </w:r>
    </w:p>
    <w:p>
      <w:pPr>
        <w:spacing w:line="520" w:lineRule="exact"/>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（二）乙方提供的货物、中文版本技术资料，应有详细的说明，包括货物的规格、技术指标及外观质量情况等。</w:t>
      </w:r>
    </w:p>
    <w:p>
      <w:pPr>
        <w:spacing w:line="520" w:lineRule="exact"/>
        <w:rPr>
          <w:rFonts w:ascii="黑体" w:eastAsia="黑体"/>
          <w:color w:val="000000" w:themeColor="text1"/>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t>四、交货时间、地点、方式</w:t>
      </w:r>
    </w:p>
    <w:p>
      <w:pPr>
        <w:spacing w:line="520" w:lineRule="exact"/>
        <w:ind w:firstLine="540"/>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（一）交货时间：合同签订后2个月内到货。</w:t>
      </w:r>
    </w:p>
    <w:p>
      <w:pPr>
        <w:spacing w:line="520" w:lineRule="exact"/>
        <w:ind w:firstLine="540"/>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（二）交货地点：由乙方负责交货至甲方使用科室指定地点。</w:t>
      </w:r>
    </w:p>
    <w:p>
      <w:pPr>
        <w:spacing w:line="520" w:lineRule="exact"/>
        <w:ind w:firstLine="540"/>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（三）交货方式：由乙方负责免费配送、安装、调试、培训等。设备所有权交割以双方签署验收单的时间为准，之前设备所发生的一切损失及费用由乙方承担。</w:t>
      </w:r>
    </w:p>
    <w:p>
      <w:pPr>
        <w:spacing w:line="520" w:lineRule="exact"/>
        <w:rPr>
          <w:rFonts w:ascii="黑体" w:eastAsia="黑体"/>
          <w:color w:val="000000" w:themeColor="text1"/>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t>五、质量验收</w:t>
      </w:r>
    </w:p>
    <w:p>
      <w:pPr>
        <w:spacing w:line="520" w:lineRule="exact"/>
        <w:rPr>
          <w:rFonts w:eastAsia="仿宋_GB2312"/>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（一）货物交付前，乙方应对货物进行全面自检，符合交付条件后，由甲方使用科室组织验收，并签署验收报告。</w:t>
      </w:r>
    </w:p>
    <w:p>
      <w:pPr>
        <w:spacing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（二）在交货时乙方应对所交付的产品出具国家标准规定的产品合格证或国家认可的行业标准规定的</w:t>
      </w:r>
      <w:r>
        <w:rPr>
          <w:rFonts w:hint="eastAsia"/>
          <w:color w:val="000000" w:themeColor="text1"/>
          <w:sz w:val="28"/>
          <w:szCs w:val="28"/>
          <w:highlight w:val="none"/>
          <w14:textFill>
            <w14:solidFill>
              <w14:schemeClr w14:val="tx1"/>
            </w14:solidFill>
          </w14:textFill>
        </w:rPr>
        <w:t>质量合格证</w:t>
      </w:r>
      <w:r>
        <w:rPr>
          <w:rFonts w:hint="eastAsia"/>
          <w:color w:val="000000" w:themeColor="text1"/>
          <w:sz w:val="28"/>
          <w:szCs w:val="28"/>
          <w:highlight w:val="none"/>
          <w14:textFill>
            <w14:solidFill>
              <w14:schemeClr w14:val="tx1"/>
            </w14:solidFill>
          </w14:textFill>
        </w:rPr>
        <w:t>。</w:t>
      </w:r>
    </w:p>
    <w:p>
      <w:pPr>
        <w:spacing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（三）甲方在交货前有权对乙方提供的货物、技术、服务提出异议，并采取相关措施确保质量合格。</w:t>
      </w:r>
    </w:p>
    <w:p>
      <w:pPr>
        <w:spacing w:line="52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（四）具体组织程序、验收标准和方法，按甲方规定程序执行，乙方配合。</w:t>
      </w:r>
    </w:p>
    <w:p>
      <w:pPr>
        <w:spacing w:line="520" w:lineRule="exact"/>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（五）产品验收不合格，甲方有权拒收货物和解除采购合同，由此造成的损失，由乙方承担。</w:t>
      </w:r>
    </w:p>
    <w:p>
      <w:pPr>
        <w:pStyle w:val="2"/>
        <w:ind w:firstLine="560" w:firstLineChars="200"/>
        <w:rPr>
          <w:rFonts w:hint="default" w:eastAsia="宋体"/>
          <w:color w:val="000000" w:themeColor="text1"/>
          <w:highlight w:val="none"/>
          <w:lang w:val="en-US" w:eastAsia="zh-CN"/>
          <w14:textFill>
            <w14:solidFill>
              <w14:schemeClr w14:val="tx1"/>
            </w14:solidFill>
          </w14:textFill>
        </w:rPr>
      </w:pPr>
      <w:r>
        <w:rPr>
          <w:rFonts w:hint="eastAsia"/>
          <w:color w:val="000000" w:themeColor="text1"/>
          <w:sz w:val="28"/>
          <w:szCs w:val="28"/>
          <w:highlight w:val="none"/>
          <w14:textFill>
            <w14:solidFill>
              <w14:schemeClr w14:val="tx1"/>
            </w14:solidFill>
          </w14:textFill>
        </w:rPr>
        <w:t>（六）甲方在产品使用过程中，发现产品性能指标未达到要求的，乙方可有</w:t>
      </w:r>
      <w:r>
        <w:rPr>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次整改机会，但乙方应按照甲方明确的整改期限（不超过</w:t>
      </w:r>
      <w:r>
        <w:rPr>
          <w:color w:val="000000" w:themeColor="text1"/>
          <w:sz w:val="28"/>
          <w:szCs w:val="28"/>
          <w:highlight w:val="none"/>
          <w14:textFill>
            <w14:solidFill>
              <w14:schemeClr w14:val="tx1"/>
            </w14:solidFill>
          </w14:textFill>
        </w:rPr>
        <w:t>1</w:t>
      </w:r>
      <w:r>
        <w:rPr>
          <w:rFonts w:hint="eastAsia"/>
          <w:color w:val="000000" w:themeColor="text1"/>
          <w:sz w:val="28"/>
          <w:szCs w:val="28"/>
          <w:highlight w:val="none"/>
          <w14:textFill>
            <w14:solidFill>
              <w14:schemeClr w14:val="tx1"/>
            </w14:solidFill>
          </w14:textFill>
        </w:rPr>
        <w:t>个月）整改完毕，若在规定期限内未整改完毕的，由此造成的一切损失（包括直接及间接损失），由乙方承担。</w:t>
      </w:r>
      <w:bookmarkStart w:id="1" w:name="_Toc83738980"/>
      <w:r>
        <w:rPr>
          <w:rFonts w:hint="eastAsia"/>
          <w:color w:val="000000" w:themeColor="text1"/>
          <w:sz w:val="28"/>
          <w:szCs w:val="28"/>
          <w:highlight w:val="none"/>
          <w:lang w:val="en-US" w:eastAsia="zh-CN"/>
          <w14:textFill>
            <w14:solidFill>
              <w14:schemeClr w14:val="tx1"/>
            </w14:solidFill>
          </w14:textFill>
        </w:rPr>
        <w:t>同时，甲方有权解除采购合同，并要求乙方承担违约责任。</w:t>
      </w:r>
    </w:p>
    <w:p>
      <w:pPr>
        <w:spacing w:line="520" w:lineRule="exact"/>
        <w:ind w:firstLine="480"/>
        <w:rPr>
          <w:rFonts w:ascii="黑体" w:eastAsia="黑体"/>
          <w:color w:val="000000" w:themeColor="text1"/>
          <w:sz w:val="28"/>
          <w:szCs w:val="28"/>
          <w:highlight w:val="none"/>
          <w14:textFill>
            <w14:solidFill>
              <w14:schemeClr w14:val="tx1"/>
            </w14:solidFill>
          </w14:textFill>
        </w:rPr>
      </w:pPr>
      <w:r>
        <w:rPr>
          <w:rFonts w:hint="eastAsia" w:ascii="黑体" w:eastAsia="黑体"/>
          <w:color w:val="000000" w:themeColor="text1"/>
          <w:sz w:val="28"/>
          <w:szCs w:val="28"/>
          <w:highlight w:val="none"/>
          <w14:textFill>
            <w14:solidFill>
              <w14:schemeClr w14:val="tx1"/>
            </w14:solidFill>
          </w14:textFill>
        </w:rPr>
        <w:t>六、售后服务</w:t>
      </w:r>
      <w:bookmarkEnd w:id="1"/>
    </w:p>
    <w:p>
      <w:pPr>
        <w:spacing w:line="520" w:lineRule="exact"/>
        <w:rPr>
          <w:rFonts w:eastAsia="仿宋_GB2312"/>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（一）乙方负责免费运输、安装、调试、培训和服务保障等。</w:t>
      </w:r>
    </w:p>
    <w:p>
      <w:pPr>
        <w:spacing w:line="520" w:lineRule="exact"/>
        <w:ind w:firstLine="560" w:firstLineChars="20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（二）自货物验收完毕之日起，货物免费质保期</w:t>
      </w:r>
      <w:r>
        <w:rPr>
          <w:rFonts w:hint="eastAsia"/>
          <w:color w:val="000000" w:themeColor="text1"/>
          <w:sz w:val="28"/>
          <w:szCs w:val="28"/>
          <w:highlight w:val="none"/>
          <w:u w:val="single"/>
          <w14:textFill>
            <w14:solidFill>
              <w14:schemeClr w14:val="tx1"/>
            </w14:solidFill>
          </w14:textFill>
        </w:rPr>
        <w:t xml:space="preserve"> </w:t>
      </w:r>
      <w:r>
        <w:rPr>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年。在免费质保期内，出现产品质量问题，甲方提出后，乙方应在</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u w:val="single"/>
          <w:lang w:val="en-US" w:eastAsia="zh-CN"/>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小时内响应，</w:t>
      </w:r>
      <w:r>
        <w:rPr>
          <w:rFonts w:hint="eastAsia"/>
          <w:color w:val="000000" w:themeColor="text1"/>
          <w:sz w:val="28"/>
          <w:szCs w:val="28"/>
          <w:highlight w:val="none"/>
          <w:u w:val="single"/>
          <w14:textFill>
            <w14:solidFill>
              <w14:schemeClr w14:val="tx1"/>
            </w14:solidFill>
          </w14:textFill>
        </w:rPr>
        <w:t xml:space="preserve">  </w:t>
      </w:r>
      <w:r>
        <w:rPr>
          <w:rFonts w:hint="eastAsia"/>
          <w:color w:val="000000" w:themeColor="text1"/>
          <w:sz w:val="28"/>
          <w:szCs w:val="28"/>
          <w:highlight w:val="none"/>
          <w14:textFill>
            <w14:solidFill>
              <w14:schemeClr w14:val="tx1"/>
            </w14:solidFill>
          </w14:textFill>
        </w:rPr>
        <w:t>小时内到达现场提供相关的维修、更换等服务。</w:t>
      </w:r>
    </w:p>
    <w:p>
      <w:pPr>
        <w:spacing w:line="520" w:lineRule="exact"/>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（三）长期提供免费优良的技术支持及备品备件优惠供应，备件价格不超过本合同价格。在产品的全寿命周期内为用户提供相应的备品备件。</w:t>
      </w:r>
    </w:p>
    <w:p>
      <w:pPr>
        <w:spacing w:line="520" w:lineRule="exact"/>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（四）乙方需提供在投标文件中承诺的所有售后服务项目。</w:t>
      </w:r>
    </w:p>
    <w:p>
      <w:pPr>
        <w:spacing w:line="520" w:lineRule="exact"/>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（五）免费提供技术培训，包括交装培训、安装服务、试运行指导服务；乙方在现场根据客户要求提供设备安装，安装完毕后提供详细的中文技术文档，同时提供跟产培训。</w:t>
      </w:r>
    </w:p>
    <w:p>
      <w:pPr>
        <w:spacing w:line="520" w:lineRule="exact"/>
        <w:ind w:firstLine="540"/>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六）在质保期内因设备自身设计、制造缺陷造成的各种故障，乙方承诺进行免费技术服务、维修或更换。在质保期后，乙方继续提供技术支持服务和系统软件升级换代，备件和服务的价格不超过本次投标价格，终身维护保障。</w:t>
      </w:r>
    </w:p>
    <w:p>
      <w:pPr>
        <w:spacing w:line="520" w:lineRule="exact"/>
        <w:ind w:firstLine="0" w:firstLineChars="0"/>
        <w:outlineLvl w:val="0"/>
        <w:rPr>
          <w:rFonts w:ascii="黑体" w:eastAsia="黑体"/>
          <w:i/>
          <w:iCs/>
          <w:color w:val="000000" w:themeColor="text1"/>
          <w:sz w:val="28"/>
          <w:szCs w:val="28"/>
          <w:highlight w:val="none"/>
          <w14:textFill>
            <w14:solidFill>
              <w14:schemeClr w14:val="tx1"/>
            </w14:solidFill>
          </w14:textFill>
        </w:rPr>
      </w:pPr>
      <w:bookmarkStart w:id="2" w:name="_Toc83738982"/>
      <w:r>
        <w:rPr>
          <w:rFonts w:hint="eastAsia" w:ascii="黑体" w:eastAsia="黑体"/>
          <w:color w:val="000000" w:themeColor="text1"/>
          <w:sz w:val="28"/>
          <w:szCs w:val="28"/>
          <w:highlight w:val="none"/>
          <w14:textFill>
            <w14:solidFill>
              <w14:schemeClr w14:val="tx1"/>
            </w14:solidFill>
          </w14:textFill>
        </w:rPr>
        <w:t>七、质量保证金</w:t>
      </w:r>
      <w:bookmarkEnd w:id="2"/>
    </w:p>
    <w:p>
      <w:pPr>
        <w:numPr>
          <w:ilvl w:val="0"/>
          <w:numId w:val="1"/>
        </w:numPr>
        <w:spacing w:line="520" w:lineRule="exact"/>
        <w:ind w:firstLine="560" w:firstLineChars="200"/>
        <w:outlineLvl w:val="0"/>
        <w:rPr>
          <w:bCs/>
          <w:color w:val="000000" w:themeColor="text1"/>
          <w:sz w:val="28"/>
          <w:szCs w:val="28"/>
          <w:highlight w:val="none"/>
          <w14:textFill>
            <w14:solidFill>
              <w14:schemeClr w14:val="tx1"/>
            </w14:solidFill>
          </w14:textFill>
        </w:rPr>
      </w:pPr>
      <w:bookmarkStart w:id="3" w:name="_Toc83738983"/>
      <w:r>
        <w:rPr>
          <w:rFonts w:hint="eastAsia"/>
          <w:bCs/>
          <w:color w:val="000000" w:themeColor="text1"/>
          <w:sz w:val="28"/>
          <w:szCs w:val="28"/>
          <w:highlight w:val="none"/>
          <w14:textFill>
            <w14:solidFill>
              <w14:schemeClr w14:val="tx1"/>
            </w14:solidFill>
          </w14:textFill>
        </w:rPr>
        <w:t>货物交付甲方并验收合格后</w:t>
      </w:r>
      <w:r>
        <w:rPr>
          <w:rFonts w:hint="eastAsia"/>
          <w:bCs/>
          <w:color w:val="000000" w:themeColor="text1"/>
          <w:sz w:val="28"/>
          <w:szCs w:val="28"/>
          <w:highlight w:val="none"/>
          <w:u w:val="single"/>
          <w14:textFill>
            <w14:solidFill>
              <w14:schemeClr w14:val="tx1"/>
            </w14:solidFill>
          </w14:textFill>
        </w:rPr>
        <w:t xml:space="preserve"> </w:t>
      </w:r>
      <w:r>
        <w:rPr>
          <w:bCs/>
          <w:color w:val="000000" w:themeColor="text1"/>
          <w:sz w:val="28"/>
          <w:szCs w:val="28"/>
          <w:highlight w:val="none"/>
          <w:u w:val="single"/>
          <w14:textFill>
            <w14:solidFill>
              <w14:schemeClr w14:val="tx1"/>
            </w14:solidFill>
          </w14:textFill>
        </w:rPr>
        <w:t xml:space="preserve">  </w:t>
      </w:r>
      <w:r>
        <w:rPr>
          <w:rFonts w:hint="eastAsia"/>
          <w:bCs/>
          <w:color w:val="000000" w:themeColor="text1"/>
          <w:sz w:val="28"/>
          <w:szCs w:val="28"/>
          <w:highlight w:val="none"/>
          <w14:textFill>
            <w14:solidFill>
              <w14:schemeClr w14:val="tx1"/>
            </w14:solidFill>
          </w14:textFill>
        </w:rPr>
        <w:t>日内，乙方应向甲方支付本合同总金额的</w:t>
      </w:r>
      <w:r>
        <w:rPr>
          <w:rFonts w:hint="eastAsia"/>
          <w:bCs/>
          <w:color w:val="000000" w:themeColor="text1"/>
          <w:sz w:val="28"/>
          <w:szCs w:val="28"/>
          <w:highlight w:val="none"/>
          <w:u w:val="single"/>
          <w:lang w:val="en-US" w:eastAsia="zh-CN"/>
          <w14:textFill>
            <w14:solidFill>
              <w14:schemeClr w14:val="tx1"/>
            </w14:solidFill>
          </w14:textFill>
        </w:rPr>
        <w:t>5</w:t>
      </w:r>
      <w:r>
        <w:rPr>
          <w:bCs/>
          <w:color w:val="000000" w:themeColor="text1"/>
          <w:sz w:val="28"/>
          <w:szCs w:val="28"/>
          <w:highlight w:val="none"/>
          <w14:textFill>
            <w14:solidFill>
              <w14:schemeClr w14:val="tx1"/>
            </w14:solidFill>
          </w14:textFill>
        </w:rPr>
        <w:t>%</w:t>
      </w:r>
      <w:r>
        <w:rPr>
          <w:rFonts w:hint="eastAsia"/>
          <w:bCs/>
          <w:color w:val="000000" w:themeColor="text1"/>
          <w:sz w:val="28"/>
          <w:szCs w:val="28"/>
          <w:highlight w:val="none"/>
          <w14:textFill>
            <w14:solidFill>
              <w14:schemeClr w14:val="tx1"/>
            </w14:solidFill>
          </w14:textFill>
        </w:rPr>
        <w:t>作为质量保证金，即</w:t>
      </w:r>
      <w:r>
        <w:rPr>
          <w:rFonts w:hint="eastAsia"/>
          <w:bCs/>
          <w:color w:val="000000" w:themeColor="text1"/>
          <w:sz w:val="28"/>
          <w:szCs w:val="28"/>
          <w:highlight w:val="none"/>
          <w:u w:val="single"/>
          <w14:textFill>
            <w14:solidFill>
              <w14:schemeClr w14:val="tx1"/>
            </w14:solidFill>
          </w14:textFill>
        </w:rPr>
        <w:t xml:space="preserve">    </w:t>
      </w:r>
      <w:r>
        <w:rPr>
          <w:bCs/>
          <w:color w:val="000000" w:themeColor="text1"/>
          <w:sz w:val="28"/>
          <w:szCs w:val="28"/>
          <w:highlight w:val="none"/>
          <w:u w:val="single"/>
          <w14:textFill>
            <w14:solidFill>
              <w14:schemeClr w14:val="tx1"/>
            </w14:solidFill>
          </w14:textFill>
        </w:rPr>
        <w:t xml:space="preserve">     </w:t>
      </w:r>
      <w:r>
        <w:rPr>
          <w:rFonts w:hint="eastAsia"/>
          <w:bCs/>
          <w:color w:val="000000" w:themeColor="text1"/>
          <w:sz w:val="28"/>
          <w:szCs w:val="28"/>
          <w:highlight w:val="none"/>
          <w:u w:val="single"/>
          <w14:textFill>
            <w14:solidFill>
              <w14:schemeClr w14:val="tx1"/>
            </w14:solidFill>
          </w14:textFill>
        </w:rPr>
        <w:t xml:space="preserve"> </w:t>
      </w:r>
      <w:r>
        <w:rPr>
          <w:rFonts w:hint="eastAsia"/>
          <w:bCs/>
          <w:color w:val="000000" w:themeColor="text1"/>
          <w:sz w:val="28"/>
          <w:szCs w:val="28"/>
          <w:highlight w:val="none"/>
          <w14:textFill>
            <w14:solidFill>
              <w14:schemeClr w14:val="tx1"/>
            </w14:solidFill>
          </w14:textFill>
        </w:rPr>
        <w:t>元整</w:t>
      </w:r>
      <w:r>
        <w:rPr>
          <w:rFonts w:hint="eastAsia"/>
          <w:bCs/>
          <w:i/>
          <w:color w:val="000000" w:themeColor="text1"/>
          <w:sz w:val="28"/>
          <w:szCs w:val="28"/>
          <w:highlight w:val="none"/>
          <w14:textFill>
            <w14:solidFill>
              <w14:schemeClr w14:val="tx1"/>
            </w14:solidFill>
          </w14:textFill>
        </w:rPr>
        <w:t>（小写￥</w:t>
      </w:r>
      <w:r>
        <w:rPr>
          <w:rFonts w:hint="eastAsia"/>
          <w:bCs/>
          <w:i/>
          <w:color w:val="000000" w:themeColor="text1"/>
          <w:sz w:val="28"/>
          <w:szCs w:val="28"/>
          <w:highlight w:val="none"/>
          <w:u w:val="single"/>
          <w:lang w:val="en-US" w:eastAsia="zh-CN"/>
          <w14:textFill>
            <w14:solidFill>
              <w14:schemeClr w14:val="tx1"/>
            </w14:solidFill>
          </w14:textFill>
        </w:rPr>
        <w:t xml:space="preserve">        </w:t>
      </w:r>
      <w:r>
        <w:rPr>
          <w:rFonts w:hint="eastAsia"/>
          <w:bCs/>
          <w:i/>
          <w:color w:val="000000" w:themeColor="text1"/>
          <w:sz w:val="28"/>
          <w:szCs w:val="28"/>
          <w:highlight w:val="none"/>
          <w14:textFill>
            <w14:solidFill>
              <w14:schemeClr w14:val="tx1"/>
            </w14:solidFill>
          </w14:textFill>
        </w:rPr>
        <w:t>元）</w:t>
      </w:r>
      <w:r>
        <w:rPr>
          <w:rFonts w:hint="eastAsia"/>
          <w:bCs/>
          <w:color w:val="000000" w:themeColor="text1"/>
          <w:sz w:val="28"/>
          <w:szCs w:val="28"/>
          <w:highlight w:val="none"/>
          <w14:textFill>
            <w14:solidFill>
              <w14:schemeClr w14:val="tx1"/>
            </w14:solidFill>
          </w14:textFill>
        </w:rPr>
        <w:t>。</w:t>
      </w:r>
    </w:p>
    <w:p>
      <w:pPr>
        <w:numPr>
          <w:ilvl w:val="0"/>
          <w:numId w:val="1"/>
        </w:numPr>
        <w:spacing w:line="520" w:lineRule="exact"/>
        <w:ind w:firstLine="560" w:firstLineChars="200"/>
        <w:outlineLvl w:val="0"/>
        <w:rPr>
          <w:rFonts w:ascii="黑体" w:eastAsia="黑体"/>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在质保期内，货物产生质量问题乙方未予以补救，或者予以补救后仍然造成损失的，甲方有权直接从质量保证金扣除相应损失。</w:t>
      </w:r>
    </w:p>
    <w:p>
      <w:pPr>
        <w:numPr>
          <w:ilvl w:val="0"/>
          <w:numId w:val="1"/>
        </w:numPr>
        <w:spacing w:line="520" w:lineRule="exact"/>
        <w:ind w:firstLine="560" w:firstLineChars="200"/>
        <w:outlineLvl w:val="0"/>
        <w:rPr>
          <w:rFonts w:ascii="黑体" w:eastAsia="黑体"/>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质保期满且无质量问题时，甲方在收到乙方质量保证金返还申请后，于30日内核实质量情况后</w:t>
      </w:r>
      <w:r>
        <w:rPr>
          <w:rFonts w:hint="eastAsia"/>
          <w:bCs/>
          <w:color w:val="000000" w:themeColor="text1"/>
          <w:sz w:val="28"/>
          <w:szCs w:val="28"/>
          <w:highlight w:val="none"/>
          <w:lang w:val="en-US" w:eastAsia="zh-CN"/>
          <w14:textFill>
            <w14:solidFill>
              <w14:schemeClr w14:val="tx1"/>
            </w14:solidFill>
          </w14:textFill>
        </w:rPr>
        <w:t>全额</w:t>
      </w:r>
      <w:r>
        <w:rPr>
          <w:rFonts w:hint="eastAsia"/>
          <w:bCs/>
          <w:color w:val="000000" w:themeColor="text1"/>
          <w:sz w:val="28"/>
          <w:szCs w:val="28"/>
          <w:highlight w:val="none"/>
          <w14:textFill>
            <w14:solidFill>
              <w14:schemeClr w14:val="tx1"/>
            </w14:solidFill>
          </w14:textFill>
        </w:rPr>
        <w:t>无息退还剩余质量保证金</w:t>
      </w:r>
      <w:r>
        <w:rPr>
          <w:rFonts w:hint="eastAsia"/>
          <w:color w:val="000000" w:themeColor="text1"/>
          <w:highlight w:val="none"/>
          <w:lang w:eastAsia="zh-CN"/>
          <w14:textFill>
            <w14:solidFill>
              <w14:schemeClr w14:val="tx1"/>
            </w14:solidFill>
          </w14:textFill>
        </w:rPr>
        <w:t>，</w:t>
      </w:r>
      <w:r>
        <w:rPr>
          <w:rFonts w:hint="eastAsia"/>
          <w:bCs/>
          <w:color w:val="000000" w:themeColor="text1"/>
          <w:sz w:val="28"/>
          <w:szCs w:val="28"/>
          <w:highlight w:val="none"/>
          <w:lang w:val="en-US" w:eastAsia="zh-CN"/>
          <w14:textFill>
            <w14:solidFill>
              <w14:schemeClr w14:val="tx1"/>
            </w14:solidFill>
          </w14:textFill>
        </w:rPr>
        <w:t>即</w:t>
      </w:r>
      <w:r>
        <w:rPr>
          <w:rFonts w:hint="eastAsia"/>
          <w:bCs/>
          <w:color w:val="000000" w:themeColor="text1"/>
          <w:sz w:val="28"/>
          <w:szCs w:val="28"/>
          <w:highlight w:val="none"/>
          <w:u w:val="single"/>
          <w14:textFill>
            <w14:solidFill>
              <w14:schemeClr w14:val="tx1"/>
            </w14:solidFill>
          </w14:textFill>
        </w:rPr>
        <w:t xml:space="preserve">        </w:t>
      </w:r>
      <w:r>
        <w:rPr>
          <w:rFonts w:hint="eastAsia"/>
          <w:bCs/>
          <w:color w:val="000000" w:themeColor="text1"/>
          <w:sz w:val="28"/>
          <w:szCs w:val="28"/>
          <w:highlight w:val="none"/>
          <w14:textFill>
            <w14:solidFill>
              <w14:schemeClr w14:val="tx1"/>
            </w14:solidFill>
          </w14:textFill>
        </w:rPr>
        <w:t>元整（小写￥</w:t>
      </w:r>
      <w:r>
        <w:rPr>
          <w:rFonts w:hint="eastAsia"/>
          <w:bCs/>
          <w:color w:val="000000" w:themeColor="text1"/>
          <w:sz w:val="28"/>
          <w:szCs w:val="28"/>
          <w:highlight w:val="none"/>
          <w:lang w:val="en-US" w:eastAsia="zh-CN"/>
          <w14:textFill>
            <w14:solidFill>
              <w14:schemeClr w14:val="tx1"/>
            </w14:solidFill>
          </w14:textFill>
        </w:rPr>
        <w:t xml:space="preserve">         </w:t>
      </w:r>
      <w:r>
        <w:rPr>
          <w:rFonts w:hint="eastAsia"/>
          <w:bCs/>
          <w:color w:val="000000" w:themeColor="text1"/>
          <w:sz w:val="28"/>
          <w:szCs w:val="28"/>
          <w:highlight w:val="none"/>
          <w14:textFill>
            <w14:solidFill>
              <w14:schemeClr w14:val="tx1"/>
            </w14:solidFill>
          </w14:textFill>
        </w:rPr>
        <w:t>元）</w:t>
      </w:r>
      <w:r>
        <w:rPr>
          <w:rFonts w:hint="eastAsia"/>
          <w:bCs/>
          <w:color w:val="000000" w:themeColor="text1"/>
          <w:sz w:val="28"/>
          <w:szCs w:val="28"/>
          <w:highlight w:val="none"/>
          <w14:textFill>
            <w14:solidFill>
              <w14:schemeClr w14:val="tx1"/>
            </w14:solidFill>
          </w14:textFill>
        </w:rPr>
        <w:t>。</w:t>
      </w:r>
    </w:p>
    <w:bookmarkEnd w:id="3"/>
    <w:p>
      <w:pPr>
        <w:spacing w:line="520" w:lineRule="exact"/>
        <w:ind w:firstLine="0" w:firstLineChars="0"/>
        <w:outlineLvl w:val="0"/>
        <w:rPr>
          <w:rFonts w:ascii="黑体" w:eastAsia="黑体"/>
          <w:color w:val="000000" w:themeColor="text1"/>
          <w:sz w:val="28"/>
          <w:szCs w:val="28"/>
          <w:highlight w:val="none"/>
          <w14:textFill>
            <w14:solidFill>
              <w14:schemeClr w14:val="tx1"/>
            </w14:solidFill>
          </w14:textFill>
        </w:rPr>
      </w:pPr>
      <w:bookmarkStart w:id="4" w:name="_Toc83738984"/>
      <w:r>
        <w:rPr>
          <w:rFonts w:hint="eastAsia" w:ascii="黑体" w:eastAsia="黑体"/>
          <w:color w:val="000000" w:themeColor="text1"/>
          <w:sz w:val="28"/>
          <w:szCs w:val="28"/>
          <w:highlight w:val="none"/>
          <w14:textFill>
            <w14:solidFill>
              <w14:schemeClr w14:val="tx1"/>
            </w14:solidFill>
          </w14:textFill>
        </w:rPr>
        <w:t>八、资金结算</w:t>
      </w:r>
      <w:bookmarkEnd w:id="4"/>
    </w:p>
    <w:p>
      <w:pPr>
        <w:spacing w:line="520" w:lineRule="exact"/>
        <w:ind w:firstLine="548" w:firstLineChars="196"/>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（一）</w:t>
      </w:r>
      <w:r>
        <w:rPr>
          <w:rFonts w:hint="eastAsia"/>
          <w:bCs/>
          <w:color w:val="000000" w:themeColor="text1"/>
          <w:sz w:val="28"/>
          <w:szCs w:val="28"/>
          <w:highlight w:val="none"/>
          <w:lang w:val="en-US" w:eastAsia="zh-CN"/>
          <w14:textFill>
            <w14:solidFill>
              <w14:schemeClr w14:val="tx1"/>
            </w14:solidFill>
          </w14:textFill>
        </w:rPr>
        <w:t>本</w:t>
      </w:r>
      <w:r>
        <w:rPr>
          <w:rFonts w:hint="eastAsia"/>
          <w:bCs/>
          <w:color w:val="000000" w:themeColor="text1"/>
          <w:sz w:val="28"/>
          <w:szCs w:val="28"/>
          <w:highlight w:val="none"/>
          <w14:textFill>
            <w14:solidFill>
              <w14:schemeClr w14:val="tx1"/>
            </w14:solidFill>
          </w14:textFill>
        </w:rPr>
        <w:t>项目不预付货款，货物运达</w:t>
      </w:r>
      <w:r>
        <w:rPr>
          <w:rFonts w:hint="eastAsia"/>
          <w:bCs/>
          <w:color w:val="000000" w:themeColor="text1"/>
          <w:sz w:val="28"/>
          <w:szCs w:val="28"/>
          <w:highlight w:val="none"/>
          <w:lang w:val="en-US" w:eastAsia="zh-CN"/>
          <w14:textFill>
            <w14:solidFill>
              <w14:schemeClr w14:val="tx1"/>
            </w14:solidFill>
          </w14:textFill>
        </w:rPr>
        <w:t>甲方</w:t>
      </w:r>
      <w:r>
        <w:rPr>
          <w:rFonts w:hint="eastAsia"/>
          <w:bCs/>
          <w:color w:val="000000" w:themeColor="text1"/>
          <w:sz w:val="28"/>
          <w:szCs w:val="28"/>
          <w:highlight w:val="none"/>
          <w14:textFill>
            <w14:solidFill>
              <w14:schemeClr w14:val="tx1"/>
            </w14:solidFill>
          </w14:textFill>
        </w:rPr>
        <w:t>使用科室指定地点并验收合格后，乙方收集发运接收单、发票、验收报告等资料，提交</w:t>
      </w:r>
      <w:r>
        <w:rPr>
          <w:rFonts w:hint="eastAsia"/>
          <w:bCs/>
          <w:color w:val="000000" w:themeColor="text1"/>
          <w:sz w:val="28"/>
          <w:szCs w:val="28"/>
          <w:highlight w:val="none"/>
          <w:u w:val="single"/>
          <w14:textFill>
            <w14:solidFill>
              <w14:schemeClr w14:val="tx1"/>
            </w14:solidFill>
          </w14:textFill>
        </w:rPr>
        <w:t>进口代理公司</w:t>
      </w:r>
      <w:r>
        <w:rPr>
          <w:rFonts w:hint="eastAsia"/>
          <w:bCs/>
          <w:color w:val="000000" w:themeColor="text1"/>
          <w:sz w:val="28"/>
          <w:szCs w:val="28"/>
          <w:highlight w:val="none"/>
          <w14:textFill>
            <w14:solidFill>
              <w14:schemeClr w14:val="tx1"/>
            </w14:solidFill>
          </w14:textFill>
        </w:rPr>
        <w:t>办理结算手续，</w:t>
      </w:r>
      <w:r>
        <w:rPr>
          <w:rFonts w:hint="eastAsia"/>
          <w:bCs/>
          <w:color w:val="000000" w:themeColor="text1"/>
          <w:sz w:val="28"/>
          <w:szCs w:val="28"/>
          <w:highlight w:val="none"/>
          <w:u w:val="single"/>
          <w14:textFill>
            <w14:solidFill>
              <w14:schemeClr w14:val="tx1"/>
            </w14:solidFill>
          </w14:textFill>
        </w:rPr>
        <w:t>进口代理公司</w:t>
      </w:r>
      <w:r>
        <w:rPr>
          <w:rFonts w:hint="eastAsia"/>
          <w:bCs/>
          <w:color w:val="000000" w:themeColor="text1"/>
          <w:sz w:val="28"/>
          <w:szCs w:val="28"/>
          <w:highlight w:val="none"/>
          <w14:textFill>
            <w14:solidFill>
              <w14:schemeClr w14:val="tx1"/>
            </w14:solidFill>
          </w14:textFill>
        </w:rPr>
        <w:t>在收到甲方支付货款后10天内向乙方支付货款。</w:t>
      </w:r>
    </w:p>
    <w:p>
      <w:pPr>
        <w:spacing w:line="520" w:lineRule="exact"/>
        <w:ind w:firstLine="548" w:firstLineChars="196"/>
        <w:rPr>
          <w:rStyle w:val="10"/>
          <w:color w:val="000000" w:themeColor="text1"/>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（二）合同价格结算单位为人民币。免税项目由甲方负责办理相关手续。进口代理公司由甲方指定。</w:t>
      </w:r>
    </w:p>
    <w:p>
      <w:pPr>
        <w:spacing w:line="520" w:lineRule="exact"/>
        <w:ind w:firstLine="548" w:firstLineChars="196"/>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1、甲方承担外贸代理费和银行手续费；</w:t>
      </w:r>
    </w:p>
    <w:p>
      <w:pPr>
        <w:spacing w:line="520" w:lineRule="exact"/>
        <w:ind w:firstLine="548" w:firstLineChars="196"/>
        <w:rPr>
          <w:bCs/>
          <w:color w:val="000000" w:themeColor="text1"/>
          <w:sz w:val="28"/>
          <w:szCs w:val="28"/>
          <w:highlight w:val="none"/>
          <w14:textFill>
            <w14:solidFill>
              <w14:schemeClr w14:val="tx1"/>
            </w14:solidFill>
          </w14:textFill>
        </w:rPr>
      </w:pPr>
      <w:r>
        <w:rPr>
          <w:rFonts w:hint="eastAsia"/>
          <w:bCs/>
          <w:color w:val="000000" w:themeColor="text1"/>
          <w:sz w:val="28"/>
          <w:szCs w:val="28"/>
          <w:highlight w:val="none"/>
          <w14:textFill>
            <w14:solidFill>
              <w14:schemeClr w14:val="tx1"/>
            </w14:solidFill>
          </w14:textFill>
        </w:rPr>
        <w:t>2、乙方承担设备的报关、报检、提货、仓储、运输、检疫、港杂费等费用。另外，由于进口贸易关系导致货物所加征的关税，由乙方承担。</w:t>
      </w:r>
    </w:p>
    <w:p>
      <w:pPr>
        <w:spacing w:line="520" w:lineRule="exact"/>
        <w:ind w:firstLine="0" w:firstLineChars="0"/>
        <w:outlineLvl w:val="0"/>
        <w:rPr>
          <w:rFonts w:ascii="黑体" w:eastAsia="黑体"/>
          <w:color w:val="000000" w:themeColor="text1"/>
          <w:sz w:val="28"/>
          <w:szCs w:val="28"/>
          <w:highlight w:val="none"/>
          <w14:textFill>
            <w14:solidFill>
              <w14:schemeClr w14:val="tx1"/>
            </w14:solidFill>
          </w14:textFill>
        </w:rPr>
      </w:pPr>
      <w:bookmarkStart w:id="5" w:name="_Toc83738985"/>
      <w:r>
        <w:rPr>
          <w:rFonts w:hint="eastAsia" w:ascii="黑体" w:eastAsia="黑体"/>
          <w:color w:val="000000" w:themeColor="text1"/>
          <w:sz w:val="28"/>
          <w:szCs w:val="28"/>
          <w:highlight w:val="none"/>
          <w14:textFill>
            <w14:solidFill>
              <w14:schemeClr w14:val="tx1"/>
            </w14:solidFill>
          </w14:textFill>
        </w:rPr>
        <w:t>九、知识产权</w:t>
      </w:r>
      <w:bookmarkEnd w:id="5"/>
    </w:p>
    <w:p>
      <w:pPr>
        <w:spacing w:line="520" w:lineRule="exact"/>
        <w:ind w:firstLine="560" w:firstLineChars="200"/>
        <w:rPr>
          <w:rFonts w:ascii="仿宋_GB2312" w:hAnsi="宋体"/>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乙方应保证甲方在使用货物和服务时不受第三方提出侵犯其专利权、商标权和工业设计权的起诉，</w:t>
      </w:r>
      <w:r>
        <w:rPr>
          <w:rFonts w:hint="eastAsia" w:ascii="仿宋_GB2312" w:hAnsi="宋体"/>
          <w:color w:val="000000" w:themeColor="text1"/>
          <w:sz w:val="28"/>
          <w:szCs w:val="28"/>
          <w:highlight w:val="none"/>
          <w14:textFill>
            <w14:solidFill>
              <w14:schemeClr w14:val="tx1"/>
            </w14:solidFill>
          </w14:textFill>
        </w:rPr>
        <w:t>甲方不承担任何连带责任和赔偿责任。</w:t>
      </w:r>
    </w:p>
    <w:p>
      <w:pPr>
        <w:spacing w:line="520" w:lineRule="exact"/>
        <w:ind w:firstLine="0" w:firstLineChars="0"/>
        <w:outlineLvl w:val="0"/>
        <w:rPr>
          <w:rFonts w:ascii="黑体" w:hAnsi="宋体" w:eastAsia="黑体"/>
          <w:color w:val="000000" w:themeColor="text1"/>
          <w:sz w:val="28"/>
          <w:szCs w:val="28"/>
          <w:highlight w:val="none"/>
          <w14:textFill>
            <w14:solidFill>
              <w14:schemeClr w14:val="tx1"/>
            </w14:solidFill>
          </w14:textFill>
        </w:rPr>
      </w:pPr>
      <w:bookmarkStart w:id="6" w:name="_Toc83738987"/>
      <w:r>
        <w:rPr>
          <w:rFonts w:hint="eastAsia" w:ascii="黑体" w:hAnsi="宋体" w:eastAsia="黑体"/>
          <w:color w:val="000000" w:themeColor="text1"/>
          <w:sz w:val="28"/>
          <w:szCs w:val="28"/>
          <w:highlight w:val="none"/>
          <w14:textFill>
            <w14:solidFill>
              <w14:schemeClr w14:val="tx1"/>
            </w14:solidFill>
          </w14:textFill>
        </w:rPr>
        <w:t>十、履约监督</w:t>
      </w:r>
      <w:bookmarkEnd w:id="6"/>
    </w:p>
    <w:p>
      <w:pPr>
        <w:pStyle w:val="2"/>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（一）乙方承诺接受甲方对其资质和履约能力进行监管，并保证在其资质和履约能力发生变化时向甲方通报，乙方存在法律规定的丧失或者可能丧失合同履行能力有关情形时，甲方有权中止合同</w:t>
      </w:r>
      <w:r>
        <w:rPr>
          <w:rFonts w:hint="eastAsia"/>
          <w:color w:val="000000" w:themeColor="text1"/>
          <w:highlight w:val="none"/>
          <w:lang w:eastAsia="zh-CN"/>
          <w14:textFill>
            <w14:solidFill>
              <w14:schemeClr w14:val="tx1"/>
            </w14:solidFill>
          </w14:textFill>
        </w:rPr>
        <w:t>。</w:t>
      </w:r>
    </w:p>
    <w:p>
      <w:pPr>
        <w:snapToGrid w:val="0"/>
        <w:spacing w:line="520" w:lineRule="exact"/>
        <w:ind w:firstLine="560" w:firstLineChars="200"/>
        <w:jc w:val="left"/>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（二）在不妨碍乙方正常生产、作业的情况下，甲方</w:t>
      </w:r>
      <w:r>
        <w:rPr>
          <w:rFonts w:hint="eastAsia" w:ascii="仿宋_GB2312" w:hAnsi="宋体"/>
          <w:color w:val="000000" w:themeColor="text1"/>
          <w:sz w:val="28"/>
          <w:szCs w:val="28"/>
          <w:highlight w:val="none"/>
          <w14:textFill>
            <w14:solidFill>
              <w14:schemeClr w14:val="tx1"/>
            </w14:solidFill>
          </w14:textFill>
        </w:rPr>
        <w:t>有</w:t>
      </w:r>
      <w:r>
        <w:rPr>
          <w:rFonts w:hint="eastAsia"/>
          <w:color w:val="000000" w:themeColor="text1"/>
          <w:sz w:val="28"/>
          <w:szCs w:val="28"/>
          <w:highlight w:val="none"/>
          <w:lang w:val="en-US" w:eastAsia="zh-CN"/>
          <w14:textFill>
            <w14:solidFill>
              <w14:schemeClr w14:val="tx1"/>
            </w14:solidFill>
          </w14:textFill>
        </w:rPr>
        <w:t>权</w:t>
      </w:r>
      <w:r>
        <w:rPr>
          <w:rFonts w:hint="eastAsia" w:ascii="仿宋_GB2312" w:hAnsi="宋体"/>
          <w:color w:val="000000" w:themeColor="text1"/>
          <w:sz w:val="28"/>
          <w:szCs w:val="28"/>
          <w:highlight w:val="none"/>
          <w14:textFill>
            <w14:solidFill>
              <w14:schemeClr w14:val="tx1"/>
            </w14:solidFill>
          </w14:textFill>
        </w:rPr>
        <w:t>不定期对货物生产进度和过程质量管控情况进行监督检查，乙方承诺予以配合，如实反映情况，提供相关资料。</w:t>
      </w:r>
    </w:p>
    <w:p>
      <w:pPr>
        <w:snapToGrid w:val="0"/>
        <w:spacing w:line="520" w:lineRule="exact"/>
        <w:ind w:firstLine="560" w:firstLineChars="200"/>
        <w:jc w:val="left"/>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（三）乙方对于军队采购管理部门、纪检监察部门、审计部门等职能部门开展的调查，承诺予以配合，如实反映情况，提供相关资料。</w:t>
      </w:r>
    </w:p>
    <w:p>
      <w:pPr>
        <w:spacing w:line="520" w:lineRule="exact"/>
        <w:ind w:firstLine="560" w:firstLineChars="200"/>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（四）乙方在合同订立、履行过程中，存在违法、违规、违约行为经查实的，承诺愿意无条件接受军队采购管理部门根据军队采购有关规定给予的书面警告、限制参加军队采购活动等处罚。</w:t>
      </w:r>
    </w:p>
    <w:p>
      <w:pPr>
        <w:spacing w:line="520" w:lineRule="exact"/>
        <w:outlineLvl w:val="0"/>
        <w:rPr>
          <w:rFonts w:ascii="黑体" w:hAnsi="宋体" w:eastAsia="黑体"/>
          <w:color w:val="000000" w:themeColor="text1"/>
          <w:sz w:val="28"/>
          <w:szCs w:val="28"/>
          <w:highlight w:val="none"/>
          <w14:textFill>
            <w14:solidFill>
              <w14:schemeClr w14:val="tx1"/>
            </w14:solidFill>
          </w14:textFill>
        </w:rPr>
      </w:pPr>
      <w:bookmarkStart w:id="7" w:name="_Toc83738988"/>
      <w:r>
        <w:rPr>
          <w:rFonts w:hint="eastAsia" w:ascii="黑体" w:hAnsi="宋体" w:eastAsia="黑体"/>
          <w:color w:val="000000" w:themeColor="text1"/>
          <w:sz w:val="28"/>
          <w:szCs w:val="28"/>
          <w:highlight w:val="none"/>
          <w14:textFill>
            <w14:solidFill>
              <w14:schemeClr w14:val="tx1"/>
            </w14:solidFill>
          </w14:textFill>
        </w:rPr>
        <w:t>十一、违约责任</w:t>
      </w:r>
      <w:bookmarkEnd w:id="7"/>
    </w:p>
    <w:p>
      <w:pPr>
        <w:spacing w:line="520" w:lineRule="exact"/>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 xml:space="preserve">    （一）乙方未经甲方同意而延期交货时，应向甲方偿付违约金，违约金每天按违约货物金额的</w:t>
      </w:r>
      <w:r>
        <w:rPr>
          <w:rFonts w:hint="eastAsia" w:ascii="仿宋_GB2312" w:hAnsi="宋体"/>
          <w:color w:val="000000" w:themeColor="text1"/>
          <w:sz w:val="28"/>
          <w:szCs w:val="28"/>
          <w:highlight w:val="none"/>
          <w:u w:val="single"/>
          <w14:textFill>
            <w14:solidFill>
              <w14:schemeClr w14:val="tx1"/>
            </w14:solidFill>
          </w14:textFill>
        </w:rPr>
        <w:t xml:space="preserve">    </w:t>
      </w:r>
      <w:r>
        <w:rPr>
          <w:rFonts w:hint="eastAsia" w:ascii="仿宋_GB2312" w:hAnsi="宋体"/>
          <w:color w:val="000000" w:themeColor="text1"/>
          <w:sz w:val="28"/>
          <w:szCs w:val="28"/>
          <w:highlight w:val="none"/>
          <w14:textFill>
            <w14:solidFill>
              <w14:schemeClr w14:val="tx1"/>
            </w14:solidFill>
          </w14:textFill>
        </w:rPr>
        <w:t>‰计算，违约金最高限额为本合同总金额的5%。如果达到违约金最高限额时仍不能交货，或交货时间影响</w:t>
      </w:r>
      <w:r>
        <w:rPr>
          <w:rFonts w:hint="eastAsia" w:ascii="仿宋_GB2312" w:hAnsi="宋体"/>
          <w:color w:val="000000" w:themeColor="text1"/>
          <w:sz w:val="28"/>
          <w:szCs w:val="28"/>
          <w:highlight w:val="none"/>
          <w:lang w:val="en-US" w:eastAsia="zh-CN"/>
          <w14:textFill>
            <w14:solidFill>
              <w14:schemeClr w14:val="tx1"/>
            </w14:solidFill>
          </w14:textFill>
        </w:rPr>
        <w:t>甲方</w:t>
      </w:r>
      <w:r>
        <w:rPr>
          <w:rFonts w:hint="eastAsia" w:ascii="仿宋_GB2312" w:hAnsi="宋体"/>
          <w:color w:val="000000" w:themeColor="text1"/>
          <w:sz w:val="28"/>
          <w:szCs w:val="28"/>
          <w:highlight w:val="none"/>
          <w14:textFill>
            <w14:solidFill>
              <w14:schemeClr w14:val="tx1"/>
            </w14:solidFill>
          </w14:textFill>
        </w:rPr>
        <w:t>任务实施，甲方可以终止合同，乙方应向甲方支付本合同货物总价值3</w:t>
      </w:r>
      <w:r>
        <w:rPr>
          <w:rFonts w:ascii="仿宋_GB2312" w:hAnsi="宋体"/>
          <w:color w:val="000000" w:themeColor="text1"/>
          <w:sz w:val="28"/>
          <w:szCs w:val="28"/>
          <w:highlight w:val="none"/>
          <w14:textFill>
            <w14:solidFill>
              <w14:schemeClr w14:val="tx1"/>
            </w14:solidFill>
          </w14:textFill>
        </w:rPr>
        <w:t>0%</w:t>
      </w:r>
      <w:r>
        <w:rPr>
          <w:rFonts w:hint="eastAsia" w:ascii="仿宋_GB2312" w:hAnsi="宋体"/>
          <w:color w:val="000000" w:themeColor="text1"/>
          <w:sz w:val="28"/>
          <w:szCs w:val="28"/>
          <w:highlight w:val="none"/>
          <w14:textFill>
            <w14:solidFill>
              <w14:schemeClr w14:val="tx1"/>
            </w14:solidFill>
          </w14:textFill>
        </w:rPr>
        <w:t>违约金，若违约金不足以弥补甲方损失的，乙方应继续承担赔偿责任。</w:t>
      </w:r>
    </w:p>
    <w:p>
      <w:pPr>
        <w:spacing w:line="520" w:lineRule="exact"/>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 xml:space="preserve">    （二）乙方未按合同约定履行服务义务或产品技术性能指标不达标而给</w:t>
      </w:r>
      <w:r>
        <w:rPr>
          <w:rFonts w:hint="eastAsia" w:ascii="仿宋_GB2312" w:hAnsi="宋体"/>
          <w:color w:val="000000" w:themeColor="text1"/>
          <w:sz w:val="28"/>
          <w:szCs w:val="28"/>
          <w:highlight w:val="none"/>
          <w:lang w:val="en-US" w:eastAsia="zh-CN"/>
          <w14:textFill>
            <w14:solidFill>
              <w14:schemeClr w14:val="tx1"/>
            </w14:solidFill>
          </w14:textFill>
        </w:rPr>
        <w:t>甲方</w:t>
      </w:r>
      <w:r>
        <w:rPr>
          <w:rFonts w:hint="eastAsia" w:ascii="仿宋_GB2312" w:hAnsi="宋体"/>
          <w:color w:val="000000" w:themeColor="text1"/>
          <w:sz w:val="28"/>
          <w:szCs w:val="28"/>
          <w:highlight w:val="none"/>
          <w14:textFill>
            <w14:solidFill>
              <w14:schemeClr w14:val="tx1"/>
            </w14:solidFill>
          </w14:textFill>
        </w:rPr>
        <w:t>造成损失的，乙方要按损失金额予以赔偿。</w:t>
      </w:r>
    </w:p>
    <w:p>
      <w:pPr>
        <w:spacing w:line="520" w:lineRule="exact"/>
        <w:outlineLvl w:val="0"/>
        <w:rPr>
          <w:rFonts w:ascii="黑体" w:hAnsi="宋体" w:eastAsia="黑体"/>
          <w:color w:val="000000" w:themeColor="text1"/>
          <w:sz w:val="28"/>
          <w:szCs w:val="28"/>
          <w:highlight w:val="none"/>
          <w14:textFill>
            <w14:solidFill>
              <w14:schemeClr w14:val="tx1"/>
            </w14:solidFill>
          </w14:textFill>
        </w:rPr>
      </w:pPr>
      <w:bookmarkStart w:id="8" w:name="_Toc83738989"/>
      <w:r>
        <w:rPr>
          <w:rFonts w:hint="eastAsia" w:ascii="黑体" w:hAnsi="宋体" w:eastAsia="黑体"/>
          <w:color w:val="000000" w:themeColor="text1"/>
          <w:sz w:val="28"/>
          <w:szCs w:val="28"/>
          <w:highlight w:val="none"/>
          <w14:textFill>
            <w14:solidFill>
              <w14:schemeClr w14:val="tx1"/>
            </w14:solidFill>
          </w14:textFill>
        </w:rPr>
        <w:t>十二、争议解决方式</w:t>
      </w:r>
      <w:bookmarkEnd w:id="8"/>
    </w:p>
    <w:p>
      <w:pPr>
        <w:spacing w:line="520" w:lineRule="exact"/>
        <w:ind w:firstLine="560" w:firstLineChars="200"/>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合同履行过程中，发生争议时，按照下列方式解决：</w:t>
      </w:r>
    </w:p>
    <w:p>
      <w:pPr>
        <w:spacing w:line="520" w:lineRule="exact"/>
        <w:ind w:firstLine="560" w:firstLineChars="200"/>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（一）甲方和乙方协商解决。</w:t>
      </w:r>
    </w:p>
    <w:p>
      <w:pPr>
        <w:spacing w:line="520" w:lineRule="exact"/>
        <w:ind w:firstLine="560" w:firstLineChars="20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（二）</w:t>
      </w:r>
      <w:r>
        <w:rPr>
          <w:rFonts w:hint="eastAsia" w:ascii="仿宋_GB2312" w:hAnsi="宋体"/>
          <w:color w:val="000000" w:themeColor="text1"/>
          <w:sz w:val="28"/>
          <w:szCs w:val="28"/>
          <w:highlight w:val="none"/>
          <w:lang w:eastAsia="zh-CN"/>
          <w14:textFill>
            <w14:solidFill>
              <w14:schemeClr w14:val="tx1"/>
            </w14:solidFill>
          </w14:textFill>
        </w:rPr>
        <w:t>如协商</w:t>
      </w:r>
      <w:r>
        <w:rPr>
          <w:rFonts w:hint="eastAsia" w:ascii="仿宋_GB2312" w:hAnsi="宋体"/>
          <w:color w:val="000000" w:themeColor="text1"/>
          <w:sz w:val="28"/>
          <w:szCs w:val="28"/>
          <w:highlight w:val="none"/>
          <w14:textFill>
            <w14:solidFill>
              <w14:schemeClr w14:val="tx1"/>
            </w14:solidFill>
          </w14:textFill>
        </w:rPr>
        <w:t>不</w:t>
      </w:r>
      <w:r>
        <w:rPr>
          <w:rFonts w:hint="eastAsia" w:ascii="仿宋_GB2312" w:hAnsi="宋体"/>
          <w:color w:val="000000" w:themeColor="text1"/>
          <w:sz w:val="28"/>
          <w:szCs w:val="28"/>
          <w:highlight w:val="none"/>
          <w:lang w:eastAsia="zh-CN"/>
          <w14:textFill>
            <w14:solidFill>
              <w14:schemeClr w14:val="tx1"/>
            </w14:solidFill>
          </w14:textFill>
        </w:rPr>
        <w:t>能解决的</w:t>
      </w:r>
      <w:r>
        <w:rPr>
          <w:rFonts w:hint="eastAsia" w:ascii="仿宋_GB2312" w:hAnsi="宋体"/>
          <w:color w:val="000000" w:themeColor="text1"/>
          <w:sz w:val="28"/>
          <w:szCs w:val="28"/>
          <w:highlight w:val="none"/>
          <w14:textFill>
            <w14:solidFill>
              <w14:schemeClr w14:val="tx1"/>
            </w14:solidFill>
          </w14:textFill>
        </w:rPr>
        <w:t>，应向甲方所在地的</w:t>
      </w:r>
      <w:r>
        <w:rPr>
          <w:rFonts w:hint="eastAsia" w:ascii="仿宋_GB2312" w:hAnsi="宋体"/>
          <w:color w:val="000000" w:themeColor="text1"/>
          <w:sz w:val="28"/>
          <w:szCs w:val="28"/>
          <w:highlight w:val="none"/>
          <w:lang w:eastAsia="zh-CN"/>
          <w14:textFill>
            <w14:solidFill>
              <w14:schemeClr w14:val="tx1"/>
            </w14:solidFill>
          </w14:textFill>
        </w:rPr>
        <w:t>仲裁机构申请仲裁，仲裁</w:t>
      </w:r>
      <w:r>
        <w:rPr>
          <w:rFonts w:hint="eastAsia" w:ascii="仿宋_GB2312" w:hAnsi="宋体"/>
          <w:color w:val="000000" w:themeColor="text1"/>
          <w:sz w:val="28"/>
          <w:szCs w:val="28"/>
          <w:highlight w:val="none"/>
          <w14:textFill>
            <w14:solidFill>
              <w14:schemeClr w14:val="tx1"/>
            </w14:solidFill>
          </w14:textFill>
        </w:rPr>
        <w:t>费由承担责任的一方承担。在</w:t>
      </w:r>
      <w:r>
        <w:rPr>
          <w:rFonts w:hint="eastAsia" w:ascii="仿宋_GB2312" w:hAnsi="宋体"/>
          <w:color w:val="000000" w:themeColor="text1"/>
          <w:sz w:val="28"/>
          <w:szCs w:val="28"/>
          <w:highlight w:val="none"/>
          <w:lang w:eastAsia="zh-CN"/>
          <w14:textFill>
            <w14:solidFill>
              <w14:schemeClr w14:val="tx1"/>
            </w14:solidFill>
          </w14:textFill>
        </w:rPr>
        <w:t>仲裁</w:t>
      </w:r>
      <w:r>
        <w:rPr>
          <w:rFonts w:hint="eastAsia" w:ascii="仿宋_GB2312" w:hAnsi="宋体"/>
          <w:color w:val="000000" w:themeColor="text1"/>
          <w:sz w:val="28"/>
          <w:szCs w:val="28"/>
          <w:highlight w:val="none"/>
          <w14:textFill>
            <w14:solidFill>
              <w14:schemeClr w14:val="tx1"/>
            </w14:solidFill>
          </w14:textFill>
        </w:rPr>
        <w:t>期间，除正在</w:t>
      </w:r>
      <w:r>
        <w:rPr>
          <w:rFonts w:hint="eastAsia" w:ascii="仿宋_GB2312" w:hAnsi="宋体"/>
          <w:color w:val="000000" w:themeColor="text1"/>
          <w:sz w:val="28"/>
          <w:szCs w:val="28"/>
          <w:highlight w:val="none"/>
          <w:lang w:eastAsia="zh-CN"/>
          <w14:textFill>
            <w14:solidFill>
              <w14:schemeClr w14:val="tx1"/>
            </w14:solidFill>
          </w14:textFill>
        </w:rPr>
        <w:t>仲裁</w:t>
      </w:r>
      <w:r>
        <w:rPr>
          <w:rFonts w:hint="eastAsia" w:ascii="仿宋_GB2312" w:hAnsi="宋体"/>
          <w:color w:val="000000" w:themeColor="text1"/>
          <w:sz w:val="28"/>
          <w:szCs w:val="28"/>
          <w:highlight w:val="none"/>
          <w14:textFill>
            <w14:solidFill>
              <w14:schemeClr w14:val="tx1"/>
            </w14:solidFill>
          </w14:textFill>
        </w:rPr>
        <w:t>的部分外，合同的其他部分应继续执行。</w:t>
      </w:r>
    </w:p>
    <w:p>
      <w:pPr>
        <w:spacing w:line="520" w:lineRule="exact"/>
        <w:outlineLvl w:val="0"/>
        <w:rPr>
          <w:rFonts w:ascii="黑体" w:hAnsi="宋体" w:eastAsia="黑体"/>
          <w:color w:val="000000" w:themeColor="text1"/>
          <w:sz w:val="28"/>
          <w:szCs w:val="28"/>
          <w:highlight w:val="none"/>
          <w14:textFill>
            <w14:solidFill>
              <w14:schemeClr w14:val="tx1"/>
            </w14:solidFill>
          </w14:textFill>
        </w:rPr>
      </w:pPr>
      <w:bookmarkStart w:id="9" w:name="_Toc83738990"/>
      <w:r>
        <w:rPr>
          <w:rFonts w:hint="eastAsia" w:ascii="黑体" w:hAnsi="宋体" w:eastAsia="黑体"/>
          <w:color w:val="000000" w:themeColor="text1"/>
          <w:sz w:val="28"/>
          <w:szCs w:val="28"/>
          <w:highlight w:val="none"/>
          <w14:textFill>
            <w14:solidFill>
              <w14:schemeClr w14:val="tx1"/>
            </w14:solidFill>
          </w14:textFill>
        </w:rPr>
        <w:t>十三、其他约定事项</w:t>
      </w:r>
      <w:bookmarkEnd w:id="9"/>
    </w:p>
    <w:p>
      <w:pPr>
        <w:spacing w:line="520" w:lineRule="exact"/>
        <w:ind w:firstLine="560"/>
        <w:rPr>
          <w:rFonts w:hint="eastAsia"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（一）由于不可抗力因素影响合同履行时，未能履约的一方要在事发后</w:t>
      </w:r>
      <w:r>
        <w:rPr>
          <w:rFonts w:hint="eastAsia" w:ascii="仿宋_GB2312" w:hAnsi="宋体"/>
          <w:color w:val="000000" w:themeColor="text1"/>
          <w:sz w:val="28"/>
          <w:szCs w:val="28"/>
          <w:highlight w:val="none"/>
          <w:u w:val="single"/>
          <w14:textFill>
            <w14:solidFill>
              <w14:schemeClr w14:val="tx1"/>
            </w14:solidFill>
          </w14:textFill>
        </w:rPr>
        <w:t xml:space="preserve">   </w:t>
      </w:r>
      <w:r>
        <w:rPr>
          <w:rFonts w:hint="eastAsia" w:ascii="仿宋_GB2312" w:hAnsi="宋体"/>
          <w:color w:val="000000" w:themeColor="text1"/>
          <w:sz w:val="28"/>
          <w:szCs w:val="28"/>
          <w:highlight w:val="none"/>
          <w14:textFill>
            <w14:solidFill>
              <w14:schemeClr w14:val="tx1"/>
            </w14:solidFill>
          </w14:textFill>
        </w:rPr>
        <w:t>小时内将情况通知对方，并在事发后</w:t>
      </w:r>
      <w:r>
        <w:rPr>
          <w:rFonts w:hint="eastAsia" w:ascii="仿宋_GB2312" w:hAnsi="宋体"/>
          <w:color w:val="000000" w:themeColor="text1"/>
          <w:sz w:val="28"/>
          <w:szCs w:val="28"/>
          <w:highlight w:val="none"/>
          <w:u w:val="single"/>
          <w14:textFill>
            <w14:solidFill>
              <w14:schemeClr w14:val="tx1"/>
            </w14:solidFill>
          </w14:textFill>
        </w:rPr>
        <w:t xml:space="preserve">   </w:t>
      </w:r>
      <w:r>
        <w:rPr>
          <w:rFonts w:hint="eastAsia" w:ascii="仿宋_GB2312" w:hAnsi="宋体"/>
          <w:color w:val="000000" w:themeColor="text1"/>
          <w:sz w:val="28"/>
          <w:szCs w:val="28"/>
          <w:highlight w:val="none"/>
          <w14:textFill>
            <w14:solidFill>
              <w14:schemeClr w14:val="tx1"/>
            </w14:solidFill>
          </w14:textFill>
        </w:rPr>
        <w:t>日内向对方出具权威部门的证明文件。如果不可抗力影响持续</w:t>
      </w:r>
      <w:r>
        <w:rPr>
          <w:rFonts w:hint="eastAsia" w:ascii="仿宋_GB2312" w:hAnsi="宋体"/>
          <w:color w:val="000000" w:themeColor="text1"/>
          <w:sz w:val="28"/>
          <w:szCs w:val="28"/>
          <w:highlight w:val="none"/>
          <w:u w:val="single"/>
          <w14:textFill>
            <w14:solidFill>
              <w14:schemeClr w14:val="tx1"/>
            </w14:solidFill>
          </w14:textFill>
        </w:rPr>
        <w:t xml:space="preserve">   </w:t>
      </w:r>
      <w:r>
        <w:rPr>
          <w:rFonts w:hint="eastAsia" w:ascii="仿宋_GB2312" w:hAnsi="宋体"/>
          <w:color w:val="000000" w:themeColor="text1"/>
          <w:sz w:val="28"/>
          <w:szCs w:val="28"/>
          <w:highlight w:val="none"/>
          <w14:textFill>
            <w14:solidFill>
              <w14:schemeClr w14:val="tx1"/>
            </w14:solidFill>
          </w14:textFill>
        </w:rPr>
        <w:t>日以上，甲乙双方可以重新商定合同履行问题。</w:t>
      </w:r>
    </w:p>
    <w:p>
      <w:pPr>
        <w:spacing w:line="520" w:lineRule="exact"/>
        <w:ind w:firstLine="548" w:firstLineChars="196"/>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（二）未尽事宜，甲方、乙方协商解决，并签订补充协议，补充协议是本合同的有效组成部分具有同等法律效力。</w:t>
      </w:r>
    </w:p>
    <w:p>
      <w:pPr>
        <w:spacing w:line="520" w:lineRule="exact"/>
        <w:ind w:firstLine="0" w:firstLineChars="0"/>
        <w:outlineLvl w:val="0"/>
        <w:rPr>
          <w:rFonts w:ascii="黑体" w:hAnsi="宋体" w:eastAsia="黑体"/>
          <w:color w:val="000000" w:themeColor="text1"/>
          <w:sz w:val="28"/>
          <w:szCs w:val="28"/>
          <w:highlight w:val="none"/>
          <w14:textFill>
            <w14:solidFill>
              <w14:schemeClr w14:val="tx1"/>
            </w14:solidFill>
          </w14:textFill>
        </w:rPr>
      </w:pPr>
      <w:bookmarkStart w:id="10" w:name="_Toc83738991"/>
      <w:r>
        <w:rPr>
          <w:rFonts w:hint="eastAsia" w:ascii="黑体" w:hAnsi="宋体" w:eastAsia="黑体"/>
          <w:color w:val="000000" w:themeColor="text1"/>
          <w:sz w:val="28"/>
          <w:szCs w:val="28"/>
          <w:highlight w:val="none"/>
          <w14:textFill>
            <w14:solidFill>
              <w14:schemeClr w14:val="tx1"/>
            </w14:solidFill>
          </w14:textFill>
        </w:rPr>
        <w:t>十四、合同生效</w:t>
      </w:r>
      <w:bookmarkEnd w:id="10"/>
    </w:p>
    <w:p>
      <w:pPr>
        <w:spacing w:line="520" w:lineRule="exact"/>
        <w:ind w:firstLine="548" w:firstLineChars="196"/>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（一）本合同按照军队采购有关规定编号后，经甲方、乙方共同签署，并加盖单位印章后生效。未经甲方允许，乙方不得部分或全部转让其应履行的合同义务，不得在合同未生效前履行合同相关义务。</w:t>
      </w:r>
    </w:p>
    <w:p>
      <w:pPr>
        <w:spacing w:line="520" w:lineRule="exact"/>
        <w:ind w:left="240" w:leftChars="100" w:firstLine="268" w:firstLineChars="96"/>
        <w:rPr>
          <w:rFonts w:ascii="仿宋_GB2312" w:hAnsi="宋体"/>
          <w:color w:val="000000" w:themeColor="text1"/>
          <w:sz w:val="28"/>
          <w:szCs w:val="28"/>
          <w:highlight w:val="none"/>
          <w14:textFill>
            <w14:solidFill>
              <w14:schemeClr w14:val="tx1"/>
            </w14:solidFill>
          </w14:textFill>
        </w:rPr>
      </w:pPr>
      <w:r>
        <w:rPr>
          <w:rFonts w:hint="eastAsia" w:ascii="仿宋_GB2312" w:hAnsi="宋体"/>
          <w:color w:val="000000" w:themeColor="text1"/>
          <w:sz w:val="28"/>
          <w:szCs w:val="28"/>
          <w:highlight w:val="none"/>
          <w14:textFill>
            <w14:solidFill>
              <w14:schemeClr w14:val="tx1"/>
            </w14:solidFill>
          </w14:textFill>
        </w:rPr>
        <w:t>（二）本合同一式</w:t>
      </w:r>
      <w:r>
        <w:rPr>
          <w:rFonts w:ascii="仿宋_GB2312" w:hAnsi="宋体"/>
          <w:color w:val="000000" w:themeColor="text1"/>
          <w:sz w:val="28"/>
          <w:szCs w:val="28"/>
          <w:highlight w:val="none"/>
          <w:u w:val="single"/>
          <w14:textFill>
            <w14:solidFill>
              <w14:schemeClr w14:val="tx1"/>
            </w14:solidFill>
          </w14:textFill>
        </w:rPr>
        <w:t>6</w:t>
      </w:r>
      <w:r>
        <w:rPr>
          <w:rFonts w:hint="eastAsia" w:ascii="仿宋_GB2312" w:hAnsi="宋体"/>
          <w:color w:val="000000" w:themeColor="text1"/>
          <w:sz w:val="28"/>
          <w:szCs w:val="28"/>
          <w:highlight w:val="none"/>
          <w14:textFill>
            <w14:solidFill>
              <w14:schemeClr w14:val="tx1"/>
            </w14:solidFill>
          </w14:textFill>
        </w:rPr>
        <w:t>份，正本</w:t>
      </w:r>
      <w:r>
        <w:rPr>
          <w:rFonts w:ascii="仿宋_GB2312" w:hAnsi="宋体"/>
          <w:color w:val="000000" w:themeColor="text1"/>
          <w:sz w:val="28"/>
          <w:szCs w:val="28"/>
          <w:highlight w:val="none"/>
          <w:u w:val="single"/>
          <w14:textFill>
            <w14:solidFill>
              <w14:schemeClr w14:val="tx1"/>
            </w14:solidFill>
          </w14:textFill>
        </w:rPr>
        <w:t>2</w:t>
      </w:r>
      <w:r>
        <w:rPr>
          <w:rFonts w:hint="eastAsia" w:ascii="仿宋_GB2312" w:hAnsi="宋体"/>
          <w:color w:val="000000" w:themeColor="text1"/>
          <w:sz w:val="28"/>
          <w:szCs w:val="28"/>
          <w:highlight w:val="none"/>
          <w14:textFill>
            <w14:solidFill>
              <w14:schemeClr w14:val="tx1"/>
            </w14:solidFill>
          </w14:textFill>
        </w:rPr>
        <w:t>份，由甲乙双方各执一份，副本</w:t>
      </w:r>
      <w:r>
        <w:rPr>
          <w:rFonts w:ascii="仿宋_GB2312" w:hAnsi="宋体"/>
          <w:color w:val="000000" w:themeColor="text1"/>
          <w:sz w:val="28"/>
          <w:szCs w:val="28"/>
          <w:highlight w:val="none"/>
          <w:u w:val="single"/>
          <w14:textFill>
            <w14:solidFill>
              <w14:schemeClr w14:val="tx1"/>
            </w14:solidFill>
          </w14:textFill>
        </w:rPr>
        <w:t>4</w:t>
      </w:r>
      <w:r>
        <w:rPr>
          <w:rFonts w:hint="eastAsia" w:ascii="仿宋_GB2312" w:hAnsi="宋体"/>
          <w:color w:val="000000" w:themeColor="text1"/>
          <w:sz w:val="28"/>
          <w:szCs w:val="28"/>
          <w:highlight w:val="none"/>
          <w14:textFill>
            <w14:solidFill>
              <w14:schemeClr w14:val="tx1"/>
            </w14:solidFill>
          </w14:textFill>
        </w:rPr>
        <w:t>份</w:t>
      </w:r>
      <w:r>
        <w:rPr>
          <w:rFonts w:hint="eastAsia" w:ascii="仿宋_GB2312" w:hAnsi="宋体"/>
          <w:color w:val="000000" w:themeColor="text1"/>
          <w:sz w:val="28"/>
          <w:szCs w:val="28"/>
          <w:highlight w:val="none"/>
          <w:lang w:eastAsia="zh-CN"/>
          <w14:textFill>
            <w14:solidFill>
              <w14:schemeClr w14:val="tx1"/>
            </w14:solidFill>
          </w14:textFill>
        </w:rPr>
        <w:t>，</w:t>
      </w:r>
      <w:r>
        <w:rPr>
          <w:rFonts w:hint="eastAsia" w:ascii="仿宋_GB2312" w:hAnsi="宋体"/>
          <w:color w:val="000000" w:themeColor="text1"/>
          <w:sz w:val="28"/>
          <w:szCs w:val="28"/>
          <w:highlight w:val="none"/>
          <w14:textFill>
            <w14:solidFill>
              <w14:schemeClr w14:val="tx1"/>
            </w14:solidFill>
          </w14:textFill>
        </w:rPr>
        <w:t>由甲方财务部门、采购机构、采购管理部门、教保处各执一份。正副本合同具有同等法律效力。</w:t>
      </w:r>
    </w:p>
    <w:p>
      <w:pPr>
        <w:spacing w:line="520" w:lineRule="exact"/>
        <w:ind w:firstLine="0" w:firstLineChars="0"/>
        <w:outlineLvl w:val="0"/>
        <w:rPr>
          <w:rFonts w:ascii="黑体" w:hAnsi="宋体" w:eastAsia="黑体"/>
          <w:color w:val="000000" w:themeColor="text1"/>
          <w:sz w:val="28"/>
          <w:szCs w:val="28"/>
          <w:highlight w:val="none"/>
          <w14:textFill>
            <w14:solidFill>
              <w14:schemeClr w14:val="tx1"/>
            </w14:solidFill>
          </w14:textFill>
        </w:rPr>
      </w:pPr>
      <w:bookmarkStart w:id="11" w:name="_Toc83738992"/>
      <w:r>
        <w:rPr>
          <w:rFonts w:hint="eastAsia" w:ascii="黑体" w:hAnsi="宋体" w:eastAsia="黑体"/>
          <w:color w:val="000000" w:themeColor="text1"/>
          <w:sz w:val="28"/>
          <w:szCs w:val="28"/>
          <w:highlight w:val="none"/>
          <w14:textFill>
            <w14:solidFill>
              <w14:schemeClr w14:val="tx1"/>
            </w14:solidFill>
          </w14:textFill>
        </w:rPr>
        <w:t>十五、合同附件</w:t>
      </w:r>
      <w:bookmarkEnd w:id="11"/>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（一）货物简要说明一览表</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（二）主要产品技术性能参数表</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（三）交货清单</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（四）易损易耗件清单</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（五）售后服务承诺</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（六）保密承诺书</w:t>
      </w:r>
    </w:p>
    <w:p>
      <w:pPr>
        <w:spacing w:line="520" w:lineRule="exact"/>
        <w:ind w:firstLine="548" w:firstLineChars="196"/>
        <w:rPr>
          <w:rFonts w:ascii="仿宋_GB2312"/>
          <w:color w:val="000000" w:themeColor="text1"/>
          <w:sz w:val="28"/>
          <w:szCs w:val="28"/>
          <w:highlight w:val="none"/>
          <w14:textFill>
            <w14:solidFill>
              <w14:schemeClr w14:val="tx1"/>
            </w14:solidFill>
          </w14:textFill>
        </w:rPr>
      </w:pPr>
      <w:r>
        <w:rPr>
          <w:rFonts w:hint="eastAsia" w:ascii="仿宋_GB2312"/>
          <w:color w:val="000000" w:themeColor="text1"/>
          <w:sz w:val="28"/>
          <w:szCs w:val="28"/>
          <w:highlight w:val="none"/>
          <w14:textFill>
            <w14:solidFill>
              <w14:schemeClr w14:val="tx1"/>
            </w14:solidFill>
          </w14:textFill>
        </w:rPr>
        <w:t>（其他）</w:t>
      </w:r>
    </w:p>
    <w:p>
      <w:pPr>
        <w:rPr>
          <w:color w:val="000000" w:themeColor="text1"/>
          <w:highlight w:val="none"/>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sz w:val="24"/>
        <w:szCs w:val="24"/>
      </w:rPr>
    </w:pPr>
    <w:r>
      <w:rPr>
        <w:rFonts w:hint="eastAsia" w:ascii="宋体"/>
      </w:rPr>
      <w:t>—</w:t>
    </w:r>
    <w:r>
      <w:rPr>
        <w:rFonts w:hint="eastAsia" w:ascii="宋体"/>
        <w:sz w:val="24"/>
        <w:szCs w:val="24"/>
      </w:rPr>
      <w:t xml:space="preserve"> </w:t>
    </w:r>
    <w:r>
      <w:rPr>
        <w:sz w:val="24"/>
        <w:szCs w:val="24"/>
      </w:rPr>
      <w:fldChar w:fldCharType="begin"/>
    </w:r>
    <w:r>
      <w:rPr>
        <w:rStyle w:val="9"/>
        <w:sz w:val="24"/>
        <w:szCs w:val="24"/>
      </w:rPr>
      <w:instrText xml:space="preserve"> PAGE </w:instrText>
    </w:r>
    <w:r>
      <w:rPr>
        <w:sz w:val="24"/>
        <w:szCs w:val="24"/>
      </w:rPr>
      <w:fldChar w:fldCharType="separate"/>
    </w:r>
    <w:r>
      <w:rPr>
        <w:rStyle w:val="9"/>
        <w:sz w:val="24"/>
        <w:szCs w:val="24"/>
      </w:rPr>
      <w:t>7</w:t>
    </w:r>
    <w:r>
      <w:rPr>
        <w:sz w:val="24"/>
        <w:szCs w:val="24"/>
      </w:rPr>
      <w:fldChar w:fldCharType="end"/>
    </w:r>
    <w:r>
      <w:rPr>
        <w:rFonts w:hint="eastAsia" w:ascii="宋体"/>
        <w:sz w:val="24"/>
        <w:szCs w:val="24"/>
      </w:rPr>
      <w:t xml:space="preserve"> </w:t>
    </w:r>
    <w:r>
      <w:rPr>
        <w:rFonts w:hint="eastAsia" w:ascii="宋体"/>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楷体_GB2312" w:eastAsia="楷体_GB2312"/>
        <w:sz w:val="21"/>
        <w:szCs w:val="21"/>
      </w:rPr>
    </w:pPr>
    <w:r>
      <w:rPr>
        <w:rFonts w:hint="eastAsia" w:ascii="楷体_GB2312" w:eastAsia="楷体_GB2312"/>
        <w:sz w:val="21"/>
        <w:szCs w:val="21"/>
      </w:rPr>
      <w:t xml:space="preserve">招标文件 </w:t>
    </w:r>
    <w:r>
      <w:rPr>
        <w:rFonts w:ascii="楷体_GB2312" w:eastAsia="楷体_GB2312"/>
        <w:sz w:val="21"/>
        <w:szCs w:val="21"/>
      </w:rPr>
      <w:t xml:space="preserve">                                                              </w:t>
    </w:r>
    <w:r>
      <w:rPr>
        <w:rFonts w:hint="eastAsia" w:ascii="楷体_GB2312" w:hAnsi="华文中宋" w:eastAsia="楷体_GB2312"/>
        <w:sz w:val="21"/>
        <w:szCs w:val="21"/>
      </w:rPr>
      <w:t>合同样本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C49455"/>
    <w:multiLevelType w:val="singleLevel"/>
    <w:tmpl w:val="B4C494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iYjhjYjZmNDAzZTQwMGU3NTc2ZTNhY2Y0ZjBmNjIifQ=="/>
  </w:docVars>
  <w:rsids>
    <w:rsidRoot w:val="00AF2A46"/>
    <w:rsid w:val="000B3882"/>
    <w:rsid w:val="00192723"/>
    <w:rsid w:val="003D735D"/>
    <w:rsid w:val="0049318D"/>
    <w:rsid w:val="004A0339"/>
    <w:rsid w:val="0053586C"/>
    <w:rsid w:val="005424C3"/>
    <w:rsid w:val="005E7E50"/>
    <w:rsid w:val="006100D6"/>
    <w:rsid w:val="006747E2"/>
    <w:rsid w:val="006A1B9F"/>
    <w:rsid w:val="00712274"/>
    <w:rsid w:val="008A08B3"/>
    <w:rsid w:val="00991753"/>
    <w:rsid w:val="00A00C84"/>
    <w:rsid w:val="00A254B6"/>
    <w:rsid w:val="00A2707A"/>
    <w:rsid w:val="00A44D60"/>
    <w:rsid w:val="00A91E49"/>
    <w:rsid w:val="00AC32F1"/>
    <w:rsid w:val="00AF2A46"/>
    <w:rsid w:val="00C04531"/>
    <w:rsid w:val="00C257EC"/>
    <w:rsid w:val="00C51BD3"/>
    <w:rsid w:val="00D31B6E"/>
    <w:rsid w:val="00D75B98"/>
    <w:rsid w:val="00DD34F5"/>
    <w:rsid w:val="00EB1589"/>
    <w:rsid w:val="00EE007A"/>
    <w:rsid w:val="00F1243E"/>
    <w:rsid w:val="033050D6"/>
    <w:rsid w:val="03C0121B"/>
    <w:rsid w:val="09BA0DBE"/>
    <w:rsid w:val="0A6722EC"/>
    <w:rsid w:val="13790622"/>
    <w:rsid w:val="154E5E45"/>
    <w:rsid w:val="185E213A"/>
    <w:rsid w:val="1A903052"/>
    <w:rsid w:val="21E57A9E"/>
    <w:rsid w:val="2C3F7AC5"/>
    <w:rsid w:val="31BE78BA"/>
    <w:rsid w:val="3A6F2240"/>
    <w:rsid w:val="3BEC4DDE"/>
    <w:rsid w:val="3EAF2118"/>
    <w:rsid w:val="3FC0140F"/>
    <w:rsid w:val="45E2413A"/>
    <w:rsid w:val="552E5716"/>
    <w:rsid w:val="561A52BF"/>
    <w:rsid w:val="59121407"/>
    <w:rsid w:val="5B973E1B"/>
    <w:rsid w:val="5C152919"/>
    <w:rsid w:val="5CFF2977"/>
    <w:rsid w:val="5FDB757E"/>
    <w:rsid w:val="604F24E2"/>
    <w:rsid w:val="689A782B"/>
    <w:rsid w:val="7D4C2B0F"/>
    <w:rsid w:val="7DBC3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3"/>
    <w:qFormat/>
    <w:uiPriority w:val="0"/>
    <w:pPr>
      <w:tabs>
        <w:tab w:val="center" w:pos="4153"/>
        <w:tab w:val="right" w:pos="8306"/>
      </w:tabs>
      <w:snapToGrid w:val="0"/>
      <w:jc w:val="left"/>
    </w:pPr>
    <w:rPr>
      <w:rFonts w:ascii="等线" w:hAnsi="等线" w:eastAsia="等线"/>
      <w:kern w:val="2"/>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等线" w:hAnsi="等线" w:eastAsia="等线"/>
      <w:kern w:val="2"/>
      <w:sz w:val="18"/>
      <w:szCs w:val="18"/>
    </w:rPr>
  </w:style>
  <w:style w:type="paragraph" w:styleId="6">
    <w:name w:val="annotation subject"/>
    <w:basedOn w:val="2"/>
    <w:next w:val="2"/>
    <w:link w:val="15"/>
    <w:unhideWhenUsed/>
    <w:qFormat/>
    <w:uiPriority w:val="99"/>
    <w:rPr>
      <w:b/>
      <w:bCs/>
    </w:rPr>
  </w:style>
  <w:style w:type="character" w:styleId="9">
    <w:name w:val="page number"/>
    <w:qFormat/>
    <w:uiPriority w:val="0"/>
    <w:rPr>
      <w:rFonts w:cs="Times New Roman"/>
    </w:rPr>
  </w:style>
  <w:style w:type="character" w:styleId="10">
    <w:name w:val="annotation reference"/>
    <w:basedOn w:val="8"/>
    <w:unhideWhenUsed/>
    <w:qFormat/>
    <w:uiPriority w:val="99"/>
    <w:rPr>
      <w:sz w:val="21"/>
      <w:szCs w:val="21"/>
    </w:rPr>
  </w:style>
  <w:style w:type="character" w:customStyle="1" w:styleId="11">
    <w:name w:val="批注文字 字符"/>
    <w:basedOn w:val="8"/>
    <w:link w:val="2"/>
    <w:semiHidden/>
    <w:qFormat/>
    <w:uiPriority w:val="99"/>
    <w:rPr>
      <w:rFonts w:ascii="Times New Roman" w:hAnsi="Times New Roman" w:eastAsia="宋体" w:cs="Times New Roman"/>
      <w:kern w:val="0"/>
      <w:sz w:val="24"/>
      <w:szCs w:val="24"/>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页脚 字符1"/>
    <w:link w:val="4"/>
    <w:qFormat/>
    <w:locked/>
    <w:uiPriority w:val="0"/>
    <w:rPr>
      <w:rFonts w:cs="Times New Roman"/>
      <w:sz w:val="18"/>
      <w:szCs w:val="18"/>
    </w:rPr>
  </w:style>
  <w:style w:type="character" w:customStyle="1" w:styleId="14">
    <w:name w:val="页眉 字符1"/>
    <w:link w:val="5"/>
    <w:qFormat/>
    <w:locked/>
    <w:uiPriority w:val="0"/>
    <w:rPr>
      <w:rFonts w:cs="Times New Roman"/>
      <w:sz w:val="18"/>
      <w:szCs w:val="18"/>
    </w:rPr>
  </w:style>
  <w:style w:type="character" w:customStyle="1" w:styleId="15">
    <w:name w:val="批注主题 字符"/>
    <w:basedOn w:val="11"/>
    <w:link w:val="6"/>
    <w:semiHidden/>
    <w:qFormat/>
    <w:uiPriority w:val="99"/>
    <w:rPr>
      <w:rFonts w:ascii="Times New Roman" w:hAnsi="Times New Roman" w:eastAsia="宋体" w:cs="Times New Roman"/>
      <w:b/>
      <w:bCs/>
      <w:kern w:val="0"/>
      <w:sz w:val="24"/>
      <w:szCs w:val="24"/>
    </w:rPr>
  </w:style>
  <w:style w:type="character" w:customStyle="1" w:styleId="16">
    <w:name w:val="列出段落 Char"/>
    <w:link w:val="17"/>
    <w:qFormat/>
    <w:locked/>
    <w:uiPriority w:val="0"/>
    <w:rPr>
      <w:sz w:val="24"/>
      <w:szCs w:val="24"/>
    </w:rPr>
  </w:style>
  <w:style w:type="paragraph" w:customStyle="1" w:styleId="17">
    <w:name w:val="列表段落1"/>
    <w:basedOn w:val="1"/>
    <w:link w:val="16"/>
    <w:qFormat/>
    <w:uiPriority w:val="0"/>
    <w:pPr>
      <w:ind w:firstLine="420" w:firstLineChars="200"/>
    </w:pPr>
    <w:rPr>
      <w:rFonts w:ascii="等线" w:hAnsi="等线" w:eastAsia="等线" w:cs="Times New Roman"/>
      <w:kern w:val="2"/>
    </w:rPr>
  </w:style>
  <w:style w:type="character" w:customStyle="1" w:styleId="18">
    <w:name w:val="页脚 字符"/>
    <w:basedOn w:val="8"/>
    <w:semiHidden/>
    <w:qFormat/>
    <w:uiPriority w:val="99"/>
    <w:rPr>
      <w:rFonts w:ascii="Times New Roman" w:hAnsi="Times New Roman" w:eastAsia="宋体" w:cs="Times New Roman"/>
      <w:kern w:val="0"/>
      <w:sz w:val="18"/>
      <w:szCs w:val="18"/>
    </w:rPr>
  </w:style>
  <w:style w:type="character" w:customStyle="1" w:styleId="19">
    <w:name w:val="页眉 字符"/>
    <w:basedOn w:val="8"/>
    <w:semiHidden/>
    <w:qFormat/>
    <w:uiPriority w:val="99"/>
    <w:rPr>
      <w:rFonts w:ascii="Times New Roman" w:hAnsi="Times New Roman" w:eastAsia="宋体" w:cs="Times New Roman"/>
      <w:kern w:val="0"/>
      <w:sz w:val="18"/>
      <w:szCs w:val="18"/>
    </w:rPr>
  </w:style>
  <w:style w:type="paragraph" w:styleId="20">
    <w:name w:val="List Paragraph"/>
    <w:basedOn w:val="1"/>
    <w:qFormat/>
    <w:uiPriority w:val="34"/>
    <w:pPr>
      <w:ind w:firstLine="420" w:firstLineChars="200"/>
    </w:pPr>
  </w:style>
  <w:style w:type="paragraph" w:customStyle="1" w:styleId="21">
    <w:name w:val="修订1"/>
    <w:semiHidden/>
    <w:qFormat/>
    <w:uiPriority w:val="99"/>
    <w:rPr>
      <w:rFonts w:ascii="Times New Roman" w:hAnsi="Times New Roman" w:eastAsia="宋体" w:cs="Times New Roman"/>
      <w:sz w:val="24"/>
      <w:szCs w:val="24"/>
      <w:lang w:val="en-US" w:eastAsia="zh-CN" w:bidi="ar-SA"/>
    </w:rPr>
  </w:style>
  <w:style w:type="paragraph" w:customStyle="1" w:styleId="22">
    <w:name w:val="Revision"/>
    <w:semiHidden/>
    <w:qFormat/>
    <w:uiPriority w:val="99"/>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7</Pages>
  <Words>535</Words>
  <Characters>3056</Characters>
  <Lines>25</Lines>
  <Paragraphs>7</Paragraphs>
  <TotalTime>0</TotalTime>
  <ScaleCrop>false</ScaleCrop>
  <LinksUpToDate>false</LinksUpToDate>
  <CharactersWithSpaces>3584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2022-07-04T08:33:00Z</dcterms:created>
  <dc:creator>lenovo</dc:creator>
  <cp:lastModifiedBy>张</cp:lastModifiedBy>
  <dcterms:modified xsi:type="dcterms:W3CDTF">2022-08-22T04:02:17Z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1FD114B420FD4AA1BAC8CAE26394FE9E</vt:lpwstr>
  </property>
</Properties>
</file>